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w:t>
            </w:r>
            <w:r>
              <w:rPr>
                <w:rFonts w:hint="eastAsia" w:ascii="黑体" w:hAnsi="黑体" w:eastAsia="黑体"/>
                <w:sz w:val="21"/>
                <w:szCs w:val="21"/>
                <w:lang w:val="en-US" w:eastAsia="zh-CN"/>
              </w:rPr>
              <w:t>I</w:t>
            </w:r>
            <w:r>
              <w:rPr>
                <w:rFonts w:hint="eastAsia" w:ascii="黑体" w:hAnsi="黑体" w:eastAsia="黑体"/>
                <w:sz w:val="21"/>
                <w:szCs w:val="21"/>
              </w:rPr>
              <w:t>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64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2021</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贺</w:t>
      </w:r>
      <w:r>
        <w:rPr>
          <w:rFonts w:hint="eastAsia"/>
        </w:rPr>
        <w:t>兰山东麓葡萄酒</w:t>
      </w:r>
      <w:bookmarkStart w:id="10" w:name="OLE_LINK1"/>
      <w:r>
        <w:rPr>
          <w:rFonts w:hint="eastAsia"/>
        </w:rPr>
        <w:t>香气可视化图谱构建</w:t>
      </w:r>
      <w:bookmarkEnd w:id="10"/>
      <w:r>
        <w:rPr>
          <w:rFonts w:hint="eastAsia"/>
        </w:rPr>
        <w:t>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specification for </w:t>
      </w:r>
      <w:r>
        <w:rPr>
          <w:rFonts w:hint="eastAsia" w:eastAsia="黑体"/>
          <w:szCs w:val="28"/>
          <w:lang w:val="en-US" w:eastAsia="zh-CN"/>
        </w:rPr>
        <w:t>a</w:t>
      </w:r>
      <w:r>
        <w:rPr>
          <w:rFonts w:hint="eastAsia" w:eastAsia="黑体"/>
          <w:szCs w:val="28"/>
        </w:rPr>
        <w:t>roma visualization map</w:t>
      </w:r>
      <w:r>
        <w:rPr>
          <w:rFonts w:hint="eastAsia" w:eastAsia="黑体"/>
          <w:szCs w:val="28"/>
          <w:lang w:val="en-US" w:eastAsia="zh-CN"/>
        </w:rPr>
        <w:t>ping of</w:t>
      </w:r>
      <w:r>
        <w:rPr>
          <w:rFonts w:hint="eastAsia" w:eastAsia="黑体"/>
          <w:szCs w:val="28"/>
        </w:rPr>
        <w:t xml:space="preserve"> wine</w:t>
      </w:r>
      <w:r>
        <w:rPr>
          <w:rFonts w:hint="eastAsia" w:eastAsia="黑体"/>
          <w:szCs w:val="28"/>
          <w:lang w:val="en-US" w:eastAsia="zh-CN"/>
        </w:rPr>
        <w:t>s</w:t>
      </w:r>
      <w:r>
        <w:rPr>
          <w:rFonts w:hint="eastAsia" w:eastAsia="黑体"/>
          <w:szCs w:val="28"/>
        </w:rPr>
        <w:t xml:space="preserve"> at the Helan Mountain's East Foothill</w:t>
      </w:r>
      <w:r>
        <w:rPr>
          <w:rFonts w:eastAsia="黑体"/>
          <w:szCs w:val="28"/>
        </w:rPr>
        <w:fldChar w:fldCharType="end"/>
      </w:r>
      <w:bookmarkEnd w:id="11"/>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89"/>
        <w:spacing w:after="468"/>
      </w:pPr>
      <w:bookmarkStart w:id="22"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本文件由宁夏贺兰山东麓葡萄产业园区管委会提出、归口并实施。</w:t>
      </w:r>
    </w:p>
    <w:p>
      <w:pPr>
        <w:pStyle w:val="56"/>
        <w:ind w:firstLine="420"/>
      </w:pPr>
      <w:r>
        <w:rPr>
          <w:rFonts w:hint="eastAsia"/>
        </w:rPr>
        <w:t>本文件起草单位：西北农林科技大学</w:t>
      </w:r>
      <w:r>
        <w:rPr>
          <w:rFonts w:hint="eastAsia"/>
          <w:lang w:eastAsia="zh-CN"/>
        </w:rPr>
        <w:t>、</w:t>
      </w:r>
      <w:r>
        <w:rPr>
          <w:rFonts w:hint="eastAsia"/>
        </w:rPr>
        <w:t>宁夏贺兰山东麓葡萄产业园区管委会</w:t>
      </w:r>
      <w:r>
        <w:rPr>
          <w:rFonts w:hint="eastAsia"/>
          <w:lang w:eastAsia="zh-CN"/>
        </w:rPr>
        <w:t>办公室</w:t>
      </w:r>
      <w:r>
        <w:rPr>
          <w:rFonts w:hint="eastAsia"/>
        </w:rPr>
        <w:t>、宁夏大学。</w:t>
      </w:r>
    </w:p>
    <w:p>
      <w:pPr>
        <w:pStyle w:val="56"/>
        <w:ind w:firstLine="420"/>
      </w:pPr>
      <w:r>
        <w:rPr>
          <w:rFonts w:hint="eastAsia"/>
        </w:rPr>
        <w:t>本文件主要起草人：陶永胜</w:t>
      </w:r>
      <w:r>
        <w:rPr>
          <w:rFonts w:hint="eastAsia"/>
          <w:lang w:eastAsia="zh-CN"/>
        </w:rPr>
        <w:t>、靳国杰、崔萍、李运奎、李文超、章冉、张军翔、李爱华</w:t>
      </w:r>
      <w:r>
        <w:rPr>
          <w:rFonts w:hint="eastAsia"/>
        </w:rPr>
        <w:t>。</w:t>
      </w:r>
    </w:p>
    <w:p>
      <w:pPr>
        <w:pStyle w:val="56"/>
        <w:ind w:firstLine="420"/>
      </w:pPr>
    </w:p>
    <w:p>
      <w:pPr>
        <w:pStyle w:val="56"/>
        <w:ind w:firstLine="42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C2F6D3DC75F845C4B74070C7E62CF51D"/>
        </w:placeholder>
      </w:sdtPr>
      <w:sdtContent>
        <w:p>
          <w:pPr>
            <w:pStyle w:val="177"/>
            <w:spacing w:beforeLines="100" w:afterLines="220"/>
          </w:pPr>
          <w:bookmarkStart w:id="24" w:name="NEW_STAND_NAME"/>
          <w:r>
            <w:rPr>
              <w:rFonts w:hint="eastAsia"/>
            </w:rPr>
            <w:t>贺兰山东麓葡萄酒香气可视化图谱构建技术规程</w:t>
          </w:r>
        </w:p>
      </w:sdtContent>
    </w:sdt>
    <w:bookmarkEnd w:id="24"/>
    <w:p>
      <w:pPr>
        <w:pStyle w:val="104"/>
        <w:spacing w:before="312" w:after="312"/>
      </w:pPr>
      <w:bookmarkStart w:id="25" w:name="_Toc17233333"/>
      <w:bookmarkStart w:id="26" w:name="_Toc24884218"/>
      <w:bookmarkStart w:id="27" w:name="_Toc26648465"/>
      <w:bookmarkStart w:id="28" w:name="_Toc24884211"/>
      <w:bookmarkStart w:id="29" w:name="_Toc26986771"/>
      <w:bookmarkStart w:id="30" w:name="_Toc26986530"/>
      <w:bookmarkStart w:id="31" w:name="_Toc26718930"/>
      <w:bookmarkStart w:id="32" w:name="_Toc17233325"/>
      <w:r>
        <w:rPr>
          <w:rFonts w:hint="eastAsia"/>
        </w:rPr>
        <w:t>范围</w:t>
      </w:r>
      <w:bookmarkEnd w:id="25"/>
      <w:bookmarkEnd w:id="26"/>
      <w:bookmarkEnd w:id="27"/>
      <w:bookmarkEnd w:id="28"/>
      <w:bookmarkEnd w:id="29"/>
      <w:bookmarkEnd w:id="30"/>
      <w:bookmarkEnd w:id="31"/>
      <w:bookmarkEnd w:id="32"/>
    </w:p>
    <w:p>
      <w:pPr>
        <w:pStyle w:val="56"/>
        <w:ind w:firstLine="420"/>
      </w:pPr>
      <w:bookmarkStart w:id="33" w:name="_Toc17233334"/>
      <w:bookmarkStart w:id="34" w:name="_Toc17233326"/>
      <w:bookmarkStart w:id="35" w:name="_Toc24884212"/>
      <w:bookmarkStart w:id="36" w:name="_Toc26648466"/>
      <w:bookmarkStart w:id="37" w:name="_Toc24884219"/>
      <w:r>
        <w:rPr>
          <w:rFonts w:hint="eastAsia"/>
        </w:rPr>
        <w:t>本文件规定了贺兰山东麓葡萄酒香气可视化图谱构建技术的术语和定义、抽样、葡萄酒香气信息数字化、葡萄酒香气可视化图谱构建和质量要求。</w:t>
      </w:r>
    </w:p>
    <w:p>
      <w:pPr>
        <w:pStyle w:val="56"/>
        <w:ind w:firstLine="420"/>
      </w:pPr>
      <w:r>
        <w:rPr>
          <w:rFonts w:hint="eastAsia"/>
        </w:rPr>
        <w:t>本文件适用于贺兰山东麓葡萄酒香气可视化图谱的构建。</w:t>
      </w:r>
    </w:p>
    <w:p>
      <w:pPr>
        <w:pStyle w:val="104"/>
        <w:spacing w:before="312" w:after="312"/>
      </w:pPr>
      <w:bookmarkStart w:id="38" w:name="_Toc26986531"/>
      <w:bookmarkStart w:id="39" w:name="_Toc26986772"/>
      <w:bookmarkStart w:id="40" w:name="_Toc26718931"/>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D8D65B8972CB4628A890164273C78A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rPr>
          <w:rFonts w:hint="eastAsia"/>
          <w:szCs w:val="22"/>
        </w:rPr>
      </w:pPr>
      <w:bookmarkStart w:id="41" w:name="_Hlk72240791"/>
      <w:r>
        <w:rPr>
          <w:rFonts w:hint="eastAsia"/>
          <w:szCs w:val="22"/>
        </w:rPr>
        <w:t>GB/T 15037 葡萄酒</w:t>
      </w:r>
    </w:p>
    <w:p>
      <w:pPr>
        <w:pStyle w:val="231"/>
        <w:rPr>
          <w:rFonts w:hint="eastAsia"/>
          <w:szCs w:val="22"/>
        </w:rPr>
      </w:pPr>
      <w:r>
        <w:rPr>
          <w:rFonts w:hint="eastAsia"/>
          <w:szCs w:val="22"/>
        </w:rPr>
        <w:t>GB/T 15038 葡萄酒、果酒通用分析方法</w:t>
      </w:r>
    </w:p>
    <w:p>
      <w:pPr>
        <w:pStyle w:val="231"/>
        <w:rPr>
          <w:rFonts w:hint="eastAsia"/>
          <w:szCs w:val="22"/>
        </w:rPr>
      </w:pPr>
      <w:r>
        <w:rPr>
          <w:rFonts w:hint="eastAsia"/>
          <w:szCs w:val="22"/>
        </w:rPr>
        <w:t>GB/T 19504 地理标志产品 贺兰山东麓葡萄酒</w:t>
      </w:r>
    </w:p>
    <w:p>
      <w:pPr>
        <w:pStyle w:val="231"/>
        <w:rPr>
          <w:rFonts w:hint="eastAsia"/>
          <w:szCs w:val="22"/>
        </w:rPr>
      </w:pPr>
      <w:r>
        <w:rPr>
          <w:rFonts w:hint="eastAsia"/>
          <w:szCs w:val="22"/>
        </w:rPr>
        <w:t>GB/T 21172 感官分析 食品感官质量控制导则</w:t>
      </w:r>
    </w:p>
    <w:p>
      <w:pPr>
        <w:pStyle w:val="231"/>
        <w:rPr>
          <w:rFonts w:hint="eastAsia"/>
          <w:szCs w:val="22"/>
        </w:rPr>
      </w:pPr>
      <w:r>
        <w:rPr>
          <w:rFonts w:hint="eastAsia"/>
          <w:szCs w:val="22"/>
        </w:rPr>
        <w:t>GB/T 23543</w:t>
      </w:r>
      <w:r>
        <w:rPr>
          <w:rFonts w:hint="eastAsia"/>
          <w:szCs w:val="22"/>
          <w:lang w:val="en-US" w:eastAsia="zh-CN"/>
        </w:rPr>
        <w:t xml:space="preserve"> </w:t>
      </w:r>
      <w:r>
        <w:rPr>
          <w:rFonts w:hint="eastAsia"/>
          <w:szCs w:val="22"/>
        </w:rPr>
        <w:t>葡萄酒企业良好生产规范</w:t>
      </w:r>
    </w:p>
    <w:p>
      <w:pPr>
        <w:pStyle w:val="231"/>
        <w:rPr>
          <w:rFonts w:hint="eastAsia"/>
          <w:szCs w:val="22"/>
        </w:rPr>
      </w:pPr>
      <w:r>
        <w:rPr>
          <w:rFonts w:hint="eastAsia"/>
          <w:szCs w:val="22"/>
        </w:rPr>
        <w:t>QB/T 4849 葡萄酒中挥发性醇类的测定方法 静态顶空-气相色谱法</w:t>
      </w:r>
    </w:p>
    <w:bookmarkEnd w:id="41"/>
    <w:p>
      <w:pPr>
        <w:pStyle w:val="104"/>
        <w:spacing w:before="312" w:after="312"/>
      </w:pPr>
      <w:r>
        <w:rPr>
          <w:rFonts w:hint="eastAsia"/>
          <w:szCs w:val="21"/>
        </w:rPr>
        <w:t>术语和定义</w:t>
      </w:r>
    </w:p>
    <w:sdt>
      <w:sdtPr>
        <w:id w:val="-1909835108"/>
        <w:placeholder>
          <w:docPart w:val="0AF60965451A46728B91977FC5551E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下列术语和定义适用于本文件。</w:t>
          </w:r>
        </w:p>
      </w:sdtContent>
    </w:sdt>
    <w:p>
      <w:pPr>
        <w:pStyle w:val="223"/>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rPr>
        <w:t xml:space="preserve">贺兰山东麓葡萄酒 </w:t>
      </w:r>
      <w:r>
        <w:rPr>
          <w:rFonts w:ascii="黑体" w:hAnsi="黑体" w:eastAsia="黑体"/>
        </w:rPr>
        <w:t xml:space="preserve"> </w:t>
      </w:r>
      <w:r>
        <w:rPr>
          <w:rFonts w:hint="eastAsia" w:ascii="黑体" w:hAnsi="黑体" w:eastAsia="黑体"/>
          <w:lang w:val="en-US" w:eastAsia="zh-CN"/>
        </w:rPr>
        <w:t>wines at the Helan Mountain's East Foothill</w:t>
      </w:r>
    </w:p>
    <w:p>
      <w:pPr>
        <w:pStyle w:val="56"/>
        <w:ind w:firstLine="420"/>
      </w:pPr>
      <w:r>
        <w:rPr>
          <w:rFonts w:hint="eastAsia"/>
        </w:rPr>
        <w:t>在GB/T 19504规定的保护范围内生产的适合于酿酒的新鲜葡萄为原料，在规定的保护范围内酿制的葡萄酒。</w:t>
      </w:r>
    </w:p>
    <w:p>
      <w:pPr>
        <w:pStyle w:val="223"/>
        <w:ind w:left="420" w:hanging="420" w:hangingChars="200"/>
        <w:rPr>
          <w:rFonts w:ascii="黑体" w:hAnsi="黑体" w:eastAsia="黑体"/>
          <w:szCs w:val="21"/>
        </w:rPr>
      </w:pPr>
      <w:r>
        <w:rPr>
          <w:rFonts w:ascii="黑体" w:hAnsi="黑体" w:eastAsia="黑体"/>
        </w:rPr>
        <w:br w:type="textWrapping"/>
      </w:r>
      <w:bookmarkStart w:id="43" w:name="OLE_LINK2"/>
      <w:r>
        <w:rPr>
          <w:rFonts w:hint="eastAsia" w:ascii="黑体" w:hAnsi="黑体" w:eastAsia="黑体"/>
        </w:rPr>
        <w:t>葡萄酒香气物质</w:t>
      </w:r>
      <w:bookmarkEnd w:id="43"/>
      <w:r>
        <w:rPr>
          <w:rFonts w:ascii="黑体" w:hAnsi="黑体" w:eastAsia="黑体"/>
        </w:rPr>
        <w:t xml:space="preserve">  w</w:t>
      </w:r>
      <w:r>
        <w:rPr>
          <w:rFonts w:hint="eastAsia" w:ascii="黑体" w:hAnsi="黑体" w:eastAsia="黑体"/>
        </w:rPr>
        <w:t>ine</w:t>
      </w:r>
      <w:r>
        <w:rPr>
          <w:rFonts w:hint="eastAsia" w:ascii="黑体" w:hAnsi="黑体" w:eastAsia="黑体"/>
          <w:lang w:val="en-US" w:eastAsia="zh-CN"/>
        </w:rPr>
        <w:t xml:space="preserve"> aroma substances</w:t>
      </w:r>
    </w:p>
    <w:p>
      <w:pPr>
        <w:pStyle w:val="56"/>
        <w:ind w:firstLine="420"/>
        <w:rPr>
          <w:rFonts w:hint="eastAsia"/>
        </w:rPr>
      </w:pPr>
      <w:r>
        <w:rPr>
          <w:rFonts w:hint="eastAsia"/>
        </w:rPr>
        <w:t>在葡萄酒中，香气物质是指所有能引起嗅觉和味感物质的总称。在由嗅觉和味觉构成的风味中，贡献最大的是能被嗅觉感受器所感知的或在空气中可传播的分子。</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3.3</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气味活性值 odor activity value (OAV)</w:t>
      </w:r>
    </w:p>
    <w:p>
      <w:pPr>
        <w:pStyle w:val="56"/>
        <w:ind w:firstLine="420"/>
        <w:rPr>
          <w:rFonts w:hint="eastAsia" w:eastAsia="宋体"/>
          <w:lang w:val="en-US" w:eastAsia="zh-CN"/>
        </w:rPr>
      </w:pPr>
      <w:r>
        <w:rPr>
          <w:rFonts w:hint="eastAsia"/>
          <w:lang w:eastAsia="zh-CN"/>
        </w:rPr>
        <w:t>指挥发性成分质量浓度与嗅觉阈值的比值。</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3.4</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葡萄酒香气信息数字化 digitalization of wine aroma information</w:t>
      </w:r>
    </w:p>
    <w:p>
      <w:pPr>
        <w:pStyle w:val="56"/>
        <w:ind w:firstLine="420"/>
        <w:rPr>
          <w:rFonts w:hint="eastAsia" w:eastAsia="宋体"/>
          <w:lang w:eastAsia="zh-CN"/>
        </w:rPr>
      </w:pPr>
      <w:r>
        <w:rPr>
          <w:rFonts w:hint="eastAsia"/>
          <w:lang w:eastAsia="zh-CN"/>
        </w:rPr>
        <w:t>指将葡萄酒香气数据转化为标准化的数字信息。</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3.5</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葡萄酒香气可视化图谱 visualization mapping of wine aroma</w:t>
      </w:r>
    </w:p>
    <w:p>
      <w:pPr>
        <w:pStyle w:val="56"/>
        <w:ind w:firstLine="420"/>
        <w:rPr>
          <w:rFonts w:hint="eastAsia"/>
          <w:lang w:eastAsia="zh-CN"/>
        </w:rPr>
      </w:pPr>
      <w:r>
        <w:rPr>
          <w:rFonts w:hint="eastAsia"/>
          <w:lang w:eastAsia="zh-CN"/>
        </w:rPr>
        <w:t>指将葡萄酒香气标准化数字信息以可视化图谱的形式形象、直观地呈现。</w:t>
      </w:r>
    </w:p>
    <w:p>
      <w:pPr>
        <w:pStyle w:val="104"/>
        <w:spacing w:before="312" w:after="312"/>
      </w:pPr>
      <w:r>
        <w:rPr>
          <w:rFonts w:hint="eastAsia"/>
        </w:rPr>
        <w:t>抽样</w:t>
      </w:r>
    </w:p>
    <w:p>
      <w:pPr>
        <w:pStyle w:val="56"/>
        <w:ind w:firstLine="420"/>
        <w:rPr>
          <w:szCs w:val="21"/>
        </w:rPr>
      </w:pPr>
      <w:r>
        <w:rPr>
          <w:rFonts w:hint="eastAsia"/>
        </w:rPr>
        <w:t>按照GB/T 15037规定的抽样规则进行抽样，记录酒样产地、品种、年份、加工工艺及厂家信息等。</w:t>
      </w:r>
    </w:p>
    <w:p>
      <w:pPr>
        <w:pStyle w:val="104"/>
        <w:spacing w:before="312" w:after="312"/>
      </w:pPr>
      <w:r>
        <w:rPr>
          <w:rFonts w:hint="eastAsia"/>
        </w:rPr>
        <w:t>葡萄酒香气信息数字化</w:t>
      </w:r>
    </w:p>
    <w:p>
      <w:pPr>
        <w:pStyle w:val="105"/>
        <w:spacing w:before="156" w:after="156"/>
        <w:rPr>
          <w:szCs w:val="21"/>
        </w:rPr>
      </w:pPr>
      <w:r>
        <w:rPr>
          <w:rFonts w:hint="eastAsia"/>
          <w:szCs w:val="21"/>
        </w:rPr>
        <w:t>葡萄酒香气数据</w:t>
      </w:r>
    </w:p>
    <w:p>
      <w:pPr>
        <w:pStyle w:val="56"/>
        <w:keepNext w:val="0"/>
        <w:keepLines w:val="0"/>
        <w:pageBreakBefore w:val="0"/>
        <w:widowControl/>
        <w:kinsoku/>
        <w:wordWrap/>
        <w:overflowPunct/>
        <w:topLinePunct w:val="0"/>
        <w:autoSpaceDE w:val="0"/>
        <w:autoSpaceDN w:val="0"/>
        <w:bidi w:val="0"/>
        <w:adjustRightInd w:val="0"/>
        <w:snapToGrid w:val="0"/>
        <w:ind w:firstLine="420"/>
        <w:textAlignment w:val="auto"/>
        <w:rPr>
          <w:rFonts w:hint="eastAsia"/>
        </w:rPr>
      </w:pPr>
      <w:r>
        <w:rPr>
          <w:rFonts w:hint="eastAsia"/>
        </w:rPr>
        <w:t>葡萄酒香气数据是香气成分的气味活性值OAV，即通过气相色谱法获得的葡萄酒中挥发性香气成分的定性定量数据与各自嗅觉阈值的比值矩阵，以[</w:t>
      </w:r>
      <w:r>
        <w:rPr>
          <w:rFonts w:hint="eastAsia"/>
          <w:i/>
          <w:iCs/>
        </w:rPr>
        <w:t>X</w:t>
      </w:r>
      <w:r>
        <w:rPr>
          <w:rFonts w:hint="eastAsia"/>
          <w:i/>
          <w:iCs/>
          <w:vertAlign w:val="subscript"/>
        </w:rPr>
        <w:t>ij</w:t>
      </w:r>
      <w:r>
        <w:rPr>
          <w:rFonts w:hint="eastAsia"/>
        </w:rPr>
        <w:t xml:space="preserve">]表示，其中 </w:t>
      </w:r>
      <w:r>
        <w:rPr>
          <w:rFonts w:hint="eastAsia"/>
          <w:i/>
          <w:iCs/>
        </w:rPr>
        <w:t>X</w:t>
      </w:r>
      <w:r>
        <w:rPr>
          <w:rFonts w:hint="eastAsia"/>
        </w:rPr>
        <w:t xml:space="preserve"> 表示香气成分的OAV，</w:t>
      </w:r>
      <w:r>
        <w:rPr>
          <w:rFonts w:hint="eastAsia"/>
          <w:i/>
          <w:iCs/>
          <w:u w:val="none"/>
        </w:rPr>
        <w:t>i</w:t>
      </w:r>
      <w:r>
        <w:rPr>
          <w:rFonts w:hint="eastAsia"/>
        </w:rPr>
        <w:t xml:space="preserve"> 表示样品编号，</w:t>
      </w:r>
      <w:r>
        <w:rPr>
          <w:rFonts w:hint="eastAsia"/>
          <w:i/>
          <w:iCs/>
        </w:rPr>
        <w:t>j</w:t>
      </w:r>
      <w:r>
        <w:rPr>
          <w:rFonts w:hint="eastAsia"/>
        </w:rPr>
        <w:t>表示香气成分按照色谱保留时间排列的序号。OAV计算公式如下：</w:t>
      </w:r>
    </w:p>
    <w:p>
      <w:pPr>
        <w:pStyle w:val="56"/>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jc w:val="center"/>
        <w:textAlignment w:val="auto"/>
        <w:rPr>
          <w:rFonts w:hint="eastAsia"/>
        </w:rPr>
      </w:pPr>
      <w:r>
        <w:rPr>
          <w:rFonts w:hint="eastAsia"/>
        </w:rPr>
        <w:t>OAV = 香气成分质量浓度 / 嗅觉阈值</w:t>
      </w:r>
    </w:p>
    <w:p>
      <w:pPr>
        <w:pStyle w:val="105"/>
        <w:spacing w:before="156" w:after="156"/>
        <w:rPr>
          <w:szCs w:val="21"/>
        </w:rPr>
      </w:pPr>
      <w:r>
        <w:rPr>
          <w:rFonts w:hint="eastAsia"/>
          <w:szCs w:val="21"/>
        </w:rPr>
        <w:t>葡萄酒香气数据标准化处理</w:t>
      </w:r>
    </w:p>
    <w:p>
      <w:pPr>
        <w:pStyle w:val="56"/>
        <w:keepNext w:val="0"/>
        <w:keepLines w:val="0"/>
        <w:pageBreakBefore w:val="0"/>
        <w:widowControl/>
        <w:kinsoku/>
        <w:wordWrap/>
        <w:overflowPunct/>
        <w:topLinePunct w:val="0"/>
        <w:autoSpaceDE w:val="0"/>
        <w:autoSpaceDN w:val="0"/>
        <w:bidi w:val="0"/>
        <w:adjustRightInd w:val="0"/>
        <w:snapToGrid w:val="0"/>
        <w:ind w:firstLine="420"/>
        <w:textAlignment w:val="auto"/>
        <w:rPr>
          <w:rFonts w:hint="eastAsia"/>
          <w:color w:val="000000"/>
          <w:sz w:val="21"/>
          <w:szCs w:val="21"/>
          <w:lang w:eastAsia="zh-CN"/>
        </w:rPr>
      </w:pPr>
      <w:r>
        <w:rPr>
          <w:rFonts w:hint="eastAsia"/>
          <w:color w:val="000000"/>
          <w:sz w:val="21"/>
          <w:szCs w:val="21"/>
          <w:lang w:eastAsia="zh-CN"/>
        </w:rPr>
        <w:t>对葡萄酒香气数据进行标准化处理，具体算法如下。</w:t>
      </w:r>
    </w:p>
    <w:p>
      <w:pPr>
        <w:pStyle w:val="56"/>
        <w:keepNext w:val="0"/>
        <w:keepLines w:val="0"/>
        <w:pageBreakBefore w:val="0"/>
        <w:widowControl/>
        <w:kinsoku/>
        <w:wordWrap/>
        <w:overflowPunct/>
        <w:topLinePunct w:val="0"/>
        <w:autoSpaceDE w:val="0"/>
        <w:autoSpaceDN w:val="0"/>
        <w:bidi w:val="0"/>
        <w:adjustRightInd w:val="0"/>
        <w:snapToGrid w:val="0"/>
        <w:ind w:firstLine="420"/>
        <w:textAlignment w:val="auto"/>
        <w:rPr>
          <w:rFonts w:hint="eastAsia" w:eastAsia="宋体"/>
          <w:color w:val="000000"/>
          <w:sz w:val="21"/>
          <w:szCs w:val="21"/>
          <w:lang w:val="en-US" w:eastAsia="zh-CN"/>
        </w:rPr>
      </w:pPr>
      <w:r>
        <w:rPr>
          <w:rFonts w:hint="eastAsia"/>
          <w:color w:val="000000"/>
          <w:sz w:val="21"/>
          <w:szCs w:val="21"/>
          <w:lang w:eastAsia="zh-CN"/>
        </w:rPr>
        <w:t>（1）平移变换。取葡萄酒香气数据</w:t>
      </w:r>
      <w:r>
        <w:rPr>
          <w:rFonts w:hint="eastAsia"/>
        </w:rPr>
        <w:t>[</w:t>
      </w:r>
      <w:r>
        <w:rPr>
          <w:rFonts w:hint="eastAsia"/>
          <w:i/>
          <w:iCs/>
        </w:rPr>
        <w:t>X</w:t>
      </w:r>
      <w:r>
        <w:rPr>
          <w:rFonts w:hint="eastAsia"/>
          <w:i/>
          <w:iCs/>
          <w:vertAlign w:val="subscript"/>
        </w:rPr>
        <w:t>ij</w:t>
      </w:r>
      <w:r>
        <w:rPr>
          <w:rFonts w:hint="eastAsia"/>
        </w:rPr>
        <w:t>]</w:t>
      </w:r>
      <w:r>
        <w:rPr>
          <w:rFonts w:hint="eastAsia"/>
          <w:color w:val="000000"/>
          <w:sz w:val="21"/>
          <w:szCs w:val="21"/>
          <w:lang w:eastAsia="zh-CN"/>
        </w:rPr>
        <w:t>各列向量中的数据最小值</w:t>
      </w:r>
      <w:r>
        <w:rPr>
          <w:rFonts w:hint="eastAsia"/>
          <w:i/>
          <w:iCs/>
          <w:color w:val="000000"/>
          <w:sz w:val="21"/>
          <w:szCs w:val="21"/>
          <w:lang w:eastAsia="zh-CN"/>
        </w:rPr>
        <w:t>X</w:t>
      </w:r>
      <w:r>
        <w:rPr>
          <w:rFonts w:hint="eastAsia"/>
          <w:i/>
          <w:iCs/>
          <w:color w:val="000000"/>
          <w:sz w:val="21"/>
          <w:szCs w:val="21"/>
          <w:vertAlign w:val="subscript"/>
          <w:lang w:eastAsia="zh-CN"/>
        </w:rPr>
        <w:t>j</w:t>
      </w:r>
      <w:r>
        <w:rPr>
          <w:rFonts w:hint="eastAsia"/>
          <w:color w:val="000000"/>
          <w:sz w:val="21"/>
          <w:szCs w:val="21"/>
          <w:vertAlign w:val="subscript"/>
          <w:lang w:val="en-US" w:eastAsia="zh-CN"/>
        </w:rPr>
        <w:t>,</w:t>
      </w:r>
      <w:r>
        <w:rPr>
          <w:rFonts w:hint="eastAsia"/>
          <w:color w:val="000000"/>
          <w:sz w:val="21"/>
          <w:szCs w:val="21"/>
          <w:vertAlign w:val="subscript"/>
          <w:lang w:eastAsia="zh-CN"/>
        </w:rPr>
        <w:t>min</w:t>
      </w:r>
      <w:r>
        <w:rPr>
          <w:rFonts w:hint="eastAsia"/>
          <w:color w:val="000000"/>
          <w:sz w:val="21"/>
          <w:szCs w:val="21"/>
          <w:lang w:eastAsia="zh-CN"/>
        </w:rPr>
        <w:t>，作如下平移变换得到</w:t>
      </w:r>
      <w:r>
        <w:rPr>
          <w:rFonts w:hint="eastAsia"/>
        </w:rPr>
        <w:t>[</w:t>
      </w:r>
      <w:r>
        <w:rPr>
          <w:rFonts w:hint="eastAsia"/>
          <w:i/>
          <w:iCs/>
          <w:lang w:val="en-US" w:eastAsia="zh-CN"/>
        </w:rPr>
        <w:t>Y</w:t>
      </w:r>
      <w:r>
        <w:rPr>
          <w:rFonts w:hint="eastAsia"/>
          <w:i/>
          <w:iCs/>
          <w:vertAlign w:val="subscript"/>
        </w:rPr>
        <w:t>ij</w:t>
      </w:r>
      <w:r>
        <w:rPr>
          <w:rFonts w:hint="eastAsia"/>
        </w:rPr>
        <w:t>]</w:t>
      </w:r>
      <w:r>
        <w:rPr>
          <w:rFonts w:hint="eastAsia"/>
          <w:color w:val="000000"/>
          <w:sz w:val="21"/>
          <w:szCs w:val="21"/>
          <w:lang w:val="en-US" w:eastAsia="zh-CN"/>
        </w:rPr>
        <w:t>：</w:t>
      </w:r>
    </w:p>
    <w:p>
      <w:pPr>
        <w:keepNext w:val="0"/>
        <w:keepLines w:val="0"/>
        <w:pageBreakBefore w:val="0"/>
        <w:widowControl w:val="0"/>
        <w:tabs>
          <w:tab w:val="center" w:pos="4620"/>
          <w:tab w:val="right" w:pos="9240"/>
        </w:tabs>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sz w:val="21"/>
          <w:szCs w:val="21"/>
        </w:rPr>
      </w:pPr>
      <w:r>
        <w:rPr>
          <w:rFonts w:hint="eastAsia" w:ascii="宋体" w:hAnsi="宋体" w:eastAsia="宋体" w:cs="宋体"/>
          <w:i/>
          <w:iCs/>
          <w:lang w:val="en-US" w:eastAsia="zh-CN"/>
        </w:rPr>
        <w:t>Y</w:t>
      </w:r>
      <w:r>
        <w:rPr>
          <w:rFonts w:hint="eastAsia" w:ascii="宋体" w:hAnsi="宋体" w:eastAsia="宋体" w:cs="宋体"/>
          <w:i/>
          <w:iCs/>
          <w:vertAlign w:val="subscript"/>
        </w:rPr>
        <w:t>ij</w:t>
      </w:r>
      <w:r>
        <w:rPr>
          <w:rFonts w:hint="eastAsia" w:ascii="宋体" w:hAnsi="宋体" w:eastAsia="宋体" w:cs="宋体"/>
          <w:sz w:val="24"/>
          <w:szCs w:val="24"/>
          <w:vertAlign w:val="subscript"/>
        </w:rPr>
        <w:t xml:space="preserve">  </w:t>
      </w:r>
      <w:r>
        <w:rPr>
          <w:rFonts w:hint="eastAsia" w:ascii="宋体" w:hAnsi="宋体" w:eastAsia="宋体" w:cs="宋体"/>
          <w:sz w:val="24"/>
          <w:szCs w:val="24"/>
        </w:rPr>
        <w:t xml:space="preserve">=  </w:t>
      </w:r>
      <w:r>
        <w:rPr>
          <w:rFonts w:hint="eastAsia" w:ascii="宋体" w:hAnsi="宋体" w:eastAsia="宋体" w:cs="宋体"/>
          <w:i/>
          <w:iCs/>
        </w:rPr>
        <w:t>X</w:t>
      </w:r>
      <w:r>
        <w:rPr>
          <w:rFonts w:hint="eastAsia" w:ascii="宋体" w:hAnsi="宋体" w:eastAsia="宋体" w:cs="宋体"/>
          <w:i/>
          <w:iCs/>
          <w:vertAlign w:val="subscript"/>
        </w:rPr>
        <w:t>ij</w:t>
      </w:r>
      <w:r>
        <w:rPr>
          <w:rFonts w:hint="eastAsia" w:ascii="宋体" w:hAnsi="宋体" w:eastAsia="宋体" w:cs="宋体"/>
          <w:sz w:val="24"/>
          <w:szCs w:val="24"/>
          <w:vertAlign w:val="subscript"/>
        </w:rPr>
        <w:t xml:space="preserve">  </w:t>
      </w:r>
      <w:r>
        <w:rPr>
          <w:rFonts w:hint="eastAsia" w:ascii="宋体" w:hAnsi="宋体" w:eastAsia="宋体" w:cs="宋体"/>
          <w:sz w:val="24"/>
          <w:szCs w:val="24"/>
        </w:rPr>
        <w:t xml:space="preserve">- </w:t>
      </w:r>
      <w:r>
        <w:rPr>
          <w:rFonts w:hint="eastAsia" w:ascii="宋体" w:hAnsi="宋体" w:eastAsia="宋体" w:cs="宋体"/>
          <w:i/>
          <w:iCs/>
          <w:color w:val="000000"/>
          <w:sz w:val="21"/>
          <w:szCs w:val="21"/>
          <w:lang w:eastAsia="zh-CN"/>
        </w:rPr>
        <w:t>X</w:t>
      </w:r>
      <w:r>
        <w:rPr>
          <w:rFonts w:hint="eastAsia" w:ascii="宋体" w:hAnsi="宋体" w:eastAsia="宋体" w:cs="宋体"/>
          <w:i/>
          <w:iCs/>
          <w:color w:val="000000"/>
          <w:sz w:val="21"/>
          <w:szCs w:val="21"/>
          <w:vertAlign w:val="subscript"/>
          <w:lang w:eastAsia="zh-CN"/>
        </w:rPr>
        <w:t>j</w:t>
      </w:r>
      <w:r>
        <w:rPr>
          <w:rFonts w:hint="eastAsia" w:ascii="宋体" w:hAnsi="宋体" w:eastAsia="宋体" w:cs="宋体"/>
          <w:color w:val="000000"/>
          <w:sz w:val="21"/>
          <w:szCs w:val="21"/>
          <w:vertAlign w:val="subscript"/>
          <w:lang w:val="en-US" w:eastAsia="zh-CN"/>
        </w:rPr>
        <w:t>,</w:t>
      </w:r>
      <w:r>
        <w:rPr>
          <w:rFonts w:hint="eastAsia" w:ascii="宋体" w:hAnsi="宋体" w:eastAsia="宋体" w:cs="宋体"/>
          <w:color w:val="000000"/>
          <w:sz w:val="21"/>
          <w:szCs w:val="21"/>
          <w:vertAlign w:val="subscript"/>
          <w:lang w:eastAsia="zh-CN"/>
        </w:rPr>
        <w:t>min</w:t>
      </w:r>
    </w:p>
    <w:p>
      <w:pPr>
        <w:pStyle w:val="56"/>
        <w:keepNext w:val="0"/>
        <w:keepLines w:val="0"/>
        <w:pageBreakBefore w:val="0"/>
        <w:widowControl/>
        <w:numPr>
          <w:ilvl w:val="0"/>
          <w:numId w:val="32"/>
        </w:numPr>
        <w:kinsoku/>
        <w:wordWrap/>
        <w:overflowPunct/>
        <w:topLinePunct w:val="0"/>
        <w:autoSpaceDE w:val="0"/>
        <w:autoSpaceDN w:val="0"/>
        <w:bidi w:val="0"/>
        <w:adjustRightInd w:val="0"/>
        <w:snapToGrid w:val="0"/>
        <w:ind w:firstLine="420"/>
        <w:textAlignment w:val="auto"/>
        <w:rPr>
          <w:rFonts w:hint="eastAsia"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压缩变换。令平移后的数据矩阵</w:t>
      </w:r>
      <w:r>
        <w:rPr>
          <w:rFonts w:hint="eastAsia"/>
        </w:rPr>
        <w:t>[</w:t>
      </w:r>
      <w:r>
        <w:rPr>
          <w:rFonts w:hint="eastAsia"/>
          <w:i/>
          <w:iCs/>
          <w:lang w:val="en-US" w:eastAsia="zh-CN"/>
        </w:rPr>
        <w:t>Y</w:t>
      </w:r>
      <w:r>
        <w:rPr>
          <w:rFonts w:hint="eastAsia"/>
          <w:i/>
          <w:iCs/>
          <w:vertAlign w:val="subscript"/>
        </w:rPr>
        <w:t>ij</w:t>
      </w:r>
      <w:r>
        <w:rPr>
          <w:rFonts w:hint="eastAsia"/>
        </w:rPr>
        <w:t>]</w:t>
      </w:r>
      <w:r>
        <w:rPr>
          <w:rFonts w:hint="eastAsia" w:ascii="宋体" w:hAnsi="Times New Roman" w:eastAsia="宋体" w:cs="Times New Roman"/>
          <w:color w:val="000000"/>
          <w:kern w:val="0"/>
          <w:sz w:val="21"/>
          <w:szCs w:val="21"/>
          <w:lang w:val="en-US" w:eastAsia="zh-CN" w:bidi="ar-SA"/>
        </w:rPr>
        <w:t>中各列取数据最大值</w:t>
      </w:r>
      <w:r>
        <w:rPr>
          <w:rFonts w:hint="eastAsia"/>
          <w:i/>
          <w:iCs/>
          <w:color w:val="000000"/>
          <w:sz w:val="21"/>
          <w:szCs w:val="21"/>
          <w:lang w:val="en-US" w:eastAsia="zh-CN"/>
        </w:rPr>
        <w:t>Y</w:t>
      </w:r>
      <w:r>
        <w:rPr>
          <w:rFonts w:hint="eastAsia"/>
          <w:i/>
          <w:iCs/>
          <w:color w:val="000000"/>
          <w:sz w:val="21"/>
          <w:szCs w:val="21"/>
          <w:vertAlign w:val="subscript"/>
          <w:lang w:eastAsia="zh-CN"/>
        </w:rPr>
        <w:t>j</w:t>
      </w:r>
      <w:r>
        <w:rPr>
          <w:rFonts w:hint="eastAsia"/>
          <w:color w:val="000000"/>
          <w:sz w:val="21"/>
          <w:szCs w:val="21"/>
          <w:vertAlign w:val="subscript"/>
          <w:lang w:val="en-US" w:eastAsia="zh-CN"/>
        </w:rPr>
        <w:t>,</w:t>
      </w:r>
      <w:r>
        <w:rPr>
          <w:rFonts w:hint="eastAsia"/>
          <w:color w:val="000000"/>
          <w:sz w:val="21"/>
          <w:szCs w:val="21"/>
          <w:vertAlign w:val="subscript"/>
          <w:lang w:eastAsia="zh-CN"/>
        </w:rPr>
        <w:t>m</w:t>
      </w:r>
      <w:r>
        <w:rPr>
          <w:rFonts w:hint="eastAsia"/>
          <w:color w:val="000000"/>
          <w:sz w:val="21"/>
          <w:szCs w:val="21"/>
          <w:vertAlign w:val="subscript"/>
          <w:lang w:val="en-US" w:eastAsia="zh-CN"/>
        </w:rPr>
        <w:t>ax</w:t>
      </w:r>
      <w:r>
        <w:rPr>
          <w:rFonts w:hint="eastAsia" w:ascii="宋体" w:hAnsi="Times New Roman" w:eastAsia="宋体" w:cs="Times New Roman"/>
          <w:color w:val="000000"/>
          <w:kern w:val="0"/>
          <w:sz w:val="21"/>
          <w:szCs w:val="21"/>
          <w:lang w:val="en-US" w:eastAsia="zh-CN" w:bidi="ar-SA"/>
        </w:rPr>
        <w:t>，作如下压缩变换得到</w:t>
      </w:r>
      <w:r>
        <w:rPr>
          <w:rFonts w:hint="eastAsia"/>
        </w:rPr>
        <w:t>[</w:t>
      </w:r>
      <w:r>
        <w:rPr>
          <w:rFonts w:hint="eastAsia"/>
          <w:i/>
          <w:iCs/>
          <w:lang w:val="en-US" w:eastAsia="zh-CN"/>
        </w:rPr>
        <w:t>Z</w:t>
      </w:r>
      <w:r>
        <w:rPr>
          <w:rFonts w:hint="eastAsia"/>
          <w:i/>
          <w:iCs/>
          <w:vertAlign w:val="subscript"/>
        </w:rPr>
        <w:t>ij</w:t>
      </w:r>
      <w:r>
        <w:rPr>
          <w:rFonts w:hint="eastAsia"/>
        </w:rPr>
        <w:t>]</w:t>
      </w:r>
      <w:r>
        <w:rPr>
          <w:rFonts w:hint="eastAsia" w:cs="Times New Roman"/>
          <w:color w:val="000000"/>
          <w:kern w:val="0"/>
          <w:sz w:val="21"/>
          <w:szCs w:val="21"/>
          <w:lang w:val="en-US" w:eastAsia="zh-CN" w:bidi="ar-SA"/>
        </w:rPr>
        <w:t>：</w:t>
      </w:r>
    </w:p>
    <w:p>
      <w:pPr>
        <w:pStyle w:val="56"/>
        <w:keepNext w:val="0"/>
        <w:keepLines w:val="0"/>
        <w:pageBreakBefore w:val="0"/>
        <w:widowControl/>
        <w:numPr>
          <w:numId w:val="0"/>
        </w:numPr>
        <w:kinsoku/>
        <w:wordWrap/>
        <w:overflowPunct/>
        <w:topLinePunct w:val="0"/>
        <w:autoSpaceDE w:val="0"/>
        <w:autoSpaceDN w:val="0"/>
        <w:bidi w:val="0"/>
        <w:adjustRightInd w:val="0"/>
        <w:snapToGrid w:val="0"/>
        <w:spacing w:before="157" w:beforeLines="50" w:after="157" w:afterLines="50"/>
        <w:jc w:val="center"/>
        <w:textAlignment w:val="auto"/>
        <w:rPr>
          <w:rFonts w:hint="eastAsia" w:cs="Times New Roman"/>
          <w:color w:val="000000"/>
          <w:kern w:val="0"/>
          <w:sz w:val="21"/>
          <w:szCs w:val="21"/>
          <w:lang w:val="en-US" w:eastAsia="zh-CN" w:bidi="ar-SA"/>
        </w:rPr>
      </w:pPr>
      <w:r>
        <w:rPr>
          <w:rFonts w:hint="eastAsia"/>
          <w:i/>
          <w:iCs/>
          <w:lang w:val="en-US" w:eastAsia="zh-CN"/>
        </w:rPr>
        <w:t>Z</w:t>
      </w:r>
      <w:r>
        <w:rPr>
          <w:rFonts w:hint="eastAsia"/>
          <w:i/>
          <w:iCs/>
          <w:vertAlign w:val="subscript"/>
        </w:rPr>
        <w:t>ij</w:t>
      </w:r>
      <w:r>
        <w:rPr>
          <w:rFonts w:hint="eastAsia" w:cs="Times New Roman"/>
          <w:color w:val="000000"/>
          <w:kern w:val="0"/>
          <w:sz w:val="21"/>
          <w:szCs w:val="21"/>
          <w:lang w:val="en-US" w:eastAsia="zh-CN" w:bidi="ar-SA"/>
        </w:rPr>
        <w:t xml:space="preserve"> =  </w:t>
      </w:r>
      <w:r>
        <w:rPr>
          <w:rFonts w:hint="eastAsia"/>
          <w:i/>
          <w:iCs/>
          <w:lang w:val="en-US" w:eastAsia="zh-CN"/>
        </w:rPr>
        <w:t>Y</w:t>
      </w:r>
      <w:r>
        <w:rPr>
          <w:rFonts w:hint="eastAsia"/>
          <w:i/>
          <w:iCs/>
          <w:vertAlign w:val="subscript"/>
        </w:rPr>
        <w:t>ij</w:t>
      </w:r>
      <w:r>
        <w:rPr>
          <w:rFonts w:hint="eastAsia" w:cs="Times New Roman"/>
          <w:color w:val="000000"/>
          <w:kern w:val="0"/>
          <w:sz w:val="21"/>
          <w:szCs w:val="21"/>
          <w:lang w:val="en-US" w:eastAsia="zh-CN" w:bidi="ar-SA"/>
        </w:rPr>
        <w:t xml:space="preserve"> / </w:t>
      </w:r>
      <w:r>
        <w:rPr>
          <w:rFonts w:hint="eastAsia"/>
          <w:i/>
          <w:iCs/>
          <w:color w:val="000000"/>
          <w:sz w:val="21"/>
          <w:szCs w:val="21"/>
          <w:lang w:val="en-US" w:eastAsia="zh-CN"/>
        </w:rPr>
        <w:t>Y</w:t>
      </w:r>
      <w:r>
        <w:rPr>
          <w:rFonts w:hint="eastAsia"/>
          <w:i/>
          <w:iCs/>
          <w:color w:val="000000"/>
          <w:sz w:val="21"/>
          <w:szCs w:val="21"/>
          <w:vertAlign w:val="subscript"/>
          <w:lang w:eastAsia="zh-CN"/>
        </w:rPr>
        <w:t>j</w:t>
      </w:r>
      <w:r>
        <w:rPr>
          <w:rFonts w:hint="eastAsia"/>
          <w:color w:val="000000"/>
          <w:sz w:val="21"/>
          <w:szCs w:val="21"/>
          <w:vertAlign w:val="subscript"/>
          <w:lang w:val="en-US" w:eastAsia="zh-CN"/>
        </w:rPr>
        <w:t>,</w:t>
      </w:r>
      <w:r>
        <w:rPr>
          <w:rFonts w:hint="eastAsia"/>
          <w:color w:val="000000"/>
          <w:sz w:val="21"/>
          <w:szCs w:val="21"/>
          <w:vertAlign w:val="subscript"/>
          <w:lang w:eastAsia="zh-CN"/>
        </w:rPr>
        <w:t>m</w:t>
      </w:r>
      <w:r>
        <w:rPr>
          <w:rFonts w:hint="eastAsia"/>
          <w:color w:val="000000"/>
          <w:sz w:val="21"/>
          <w:szCs w:val="21"/>
          <w:vertAlign w:val="subscript"/>
          <w:lang w:val="en-US" w:eastAsia="zh-CN"/>
        </w:rPr>
        <w:t>ax</w:t>
      </w:r>
    </w:p>
    <w:p>
      <w:pPr>
        <w:pStyle w:val="56"/>
        <w:keepNext w:val="0"/>
        <w:keepLines w:val="0"/>
        <w:pageBreakBefore w:val="0"/>
        <w:widowControl/>
        <w:kinsoku/>
        <w:wordWrap/>
        <w:overflowPunct/>
        <w:topLinePunct w:val="0"/>
        <w:autoSpaceDE w:val="0"/>
        <w:autoSpaceDN w:val="0"/>
        <w:bidi w:val="0"/>
        <w:adjustRightInd w:val="0"/>
        <w:snapToGrid w:val="0"/>
        <w:ind w:firstLine="420"/>
        <w:textAlignment w:val="auto"/>
        <w:rPr>
          <w:rFonts w:hint="eastAsia" w:hAnsi="宋体" w:cs="宋体"/>
          <w:color w:val="000000"/>
          <w:sz w:val="21"/>
          <w:szCs w:val="21"/>
          <w:lang w:val="en-US" w:eastAsia="zh-CN"/>
        </w:rPr>
      </w:pPr>
      <w:r>
        <w:rPr>
          <w:rFonts w:hint="eastAsia" w:ascii="宋体" w:hAnsi="宋体" w:eastAsia="宋体" w:cs="宋体"/>
          <w:color w:val="000000"/>
          <w:sz w:val="21"/>
          <w:szCs w:val="21"/>
        </w:rPr>
        <w:t>经过平移变换和压缩变换，整个坐标空间被压缩成一个[0</w:t>
      </w:r>
      <w:r>
        <w:rPr>
          <w:rFonts w:hint="eastAsia" w:hAnsi="宋体" w:cs="宋体"/>
          <w:color w:val="000000"/>
          <w:sz w:val="21"/>
          <w:szCs w:val="21"/>
          <w:lang w:val="en-US" w:eastAsia="zh-CN"/>
        </w:rPr>
        <w:t xml:space="preserve">, </w:t>
      </w:r>
      <w:r>
        <w:rPr>
          <w:rFonts w:hint="eastAsia" w:ascii="宋体" w:hAnsi="宋体" w:eastAsia="宋体" w:cs="宋体"/>
          <w:color w:val="000000"/>
          <w:sz w:val="21"/>
          <w:szCs w:val="21"/>
        </w:rPr>
        <w:t>1]超立方体，而数据点的分布形状和相对位置均保持不变</w:t>
      </w:r>
      <w:r>
        <w:rPr>
          <w:rFonts w:hint="eastAsia" w:ascii="宋体" w:hAnsi="宋体" w:cs="宋体"/>
          <w:color w:val="000000"/>
          <w:sz w:val="21"/>
          <w:szCs w:val="21"/>
          <w:lang w:eastAsia="zh-CN"/>
        </w:rPr>
        <w:t>。</w:t>
      </w:r>
    </w:p>
    <w:p>
      <w:pPr>
        <w:pStyle w:val="104"/>
        <w:spacing w:before="312" w:after="312"/>
        <w:rPr>
          <w:rFonts w:hint="default" w:hAnsi="宋体" w:cs="宋体"/>
          <w:color w:val="000000"/>
          <w:sz w:val="21"/>
          <w:szCs w:val="21"/>
          <w:lang w:val="en-US" w:eastAsia="zh-CN"/>
        </w:rPr>
      </w:pPr>
      <w:r>
        <w:rPr>
          <w:rFonts w:hint="default" w:hAnsi="宋体" w:cs="宋体"/>
          <w:color w:val="000000"/>
          <w:sz w:val="21"/>
          <w:szCs w:val="21"/>
          <w:lang w:val="en-US" w:eastAsia="zh-CN"/>
        </w:rPr>
        <w:t>葡萄酒香气可视化图谱构建</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葡萄酒香气可视化图谱构建方法</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采用空间矩阵投影法转换香气成分数据并设计二维灰度图。灰度映像被用于对数据矩阵进行映射，对[0, 1]之间的各数值按照从小到大的顺序分配特定的灰度，灰度深浅代表了不同数值的大小，实现数据空间到灰度空间的映射，完成视觉模式变化对抽象数据变化的替代。采用线性灰度图实现葡萄酒香气数据的可视化，直接计算各成分数据的灰度。以X轴坐标代表葡萄酒中挥发性成分的色谱保留时间，Y轴为辅助性标量，将一维数据向量转换为二维平面图，无具体数学意义。在X轴方向上，相邻成分之间的区域为后一个成分量化值的灰度。</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葡萄酒香气可视化图谱构建的软件实现</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软件“葡萄酒香气可视化软件v1.0（2019SR1149036）”根据5.2葡萄酒香气数据标准化处理和6.1葡萄酒香气可视化图谱构建方法设计，实现葡萄酒香气数据的可视化图谱表征。如图1所示，不同葡萄酒样品的多种香气成分因气味活性值不同而表征为不同深浅的灰度条带，实现可视化的指纹判别。</w:t>
      </w:r>
    </w:p>
    <w:p>
      <w:pPr>
        <w:pStyle w:val="56"/>
        <w:ind w:left="0" w:leftChars="0" w:firstLine="0" w:firstLineChars="0"/>
        <w:jc w:val="center"/>
      </w:pPr>
      <w:r>
        <w:drawing>
          <wp:inline distT="0" distB="0" distL="114300" distR="114300">
            <wp:extent cx="2040890" cy="1981835"/>
            <wp:effectExtent l="0" t="0" r="16510" b="18415"/>
            <wp:docPr id="2" name="图片 21"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图3"/>
                    <pic:cNvPicPr>
                      <a:picLocks noChangeAspect="1"/>
                    </pic:cNvPicPr>
                  </pic:nvPicPr>
                  <pic:blipFill>
                    <a:blip r:embed="rId16"/>
                    <a:srcRect l="7713" t="10147" r="10571" b="9059"/>
                    <a:stretch>
                      <a:fillRect/>
                    </a:stretch>
                  </pic:blipFill>
                  <pic:spPr>
                    <a:xfrm>
                      <a:off x="0" y="0"/>
                      <a:ext cx="2040890" cy="198183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19300" cy="1974850"/>
            <wp:effectExtent l="0" t="0" r="0" b="6350"/>
            <wp:docPr id="4" name="图片 22"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图4"/>
                    <pic:cNvPicPr>
                      <a:picLocks noChangeAspect="1"/>
                    </pic:cNvPicPr>
                  </pic:nvPicPr>
                  <pic:blipFill>
                    <a:blip r:embed="rId17"/>
                    <a:srcRect l="7309" t="8641" r="9154" b="8641"/>
                    <a:stretch>
                      <a:fillRect/>
                    </a:stretch>
                  </pic:blipFill>
                  <pic:spPr>
                    <a:xfrm>
                      <a:off x="0" y="0"/>
                      <a:ext cx="2019300" cy="1974850"/>
                    </a:xfrm>
                    <a:prstGeom prst="rect">
                      <a:avLst/>
                    </a:prstGeom>
                    <a:noFill/>
                    <a:ln>
                      <a:noFill/>
                    </a:ln>
                  </pic:spPr>
                </pic:pic>
              </a:graphicData>
            </a:graphic>
          </wp:inline>
        </w:drawing>
      </w:r>
    </w:p>
    <w:p>
      <w:pPr>
        <w:pStyle w:val="56"/>
        <w:ind w:left="0" w:leftChars="0" w:firstLine="0" w:firstLineChars="0"/>
        <w:jc w:val="center"/>
        <w:rPr>
          <w:rFonts w:hint="eastAsia"/>
          <w:lang w:val="en-US" w:eastAsia="zh-CN"/>
        </w:rPr>
      </w:pPr>
      <w:r>
        <w:rPr>
          <w:rFonts w:hint="eastAsia"/>
          <w:lang w:val="en-US" w:eastAsia="zh-CN"/>
        </w:rPr>
        <w:t>图1 不同葡萄酒样品香气可视化图谱</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结果表示</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在大数据支持下，葡萄酒香气可视化图谱的表征结果可展示葡萄酒不同产区、品种、年份和工艺特征的唯一性，实现指纹判别功能。</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参考案例</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可参考文献：</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陶永胜,文彦.葡萄酒香气可视化指纹图谱构建方法[J].农业机械学报,2013,44(12):174-179+224.</w:t>
      </w:r>
    </w:p>
    <w:p>
      <w:pPr>
        <w:pStyle w:val="56"/>
        <w:ind w:firstLine="420"/>
        <w:rPr>
          <w:rFonts w:hint="default" w:hAnsi="宋体" w:cs="宋体"/>
          <w:color w:val="000000"/>
          <w:sz w:val="21"/>
          <w:szCs w:val="21"/>
          <w:lang w:val="en-US" w:eastAsia="zh-CN"/>
        </w:rPr>
      </w:pPr>
      <w:r>
        <w:rPr>
          <w:rFonts w:hint="eastAsia" w:hAnsi="宋体" w:cs="宋体"/>
          <w:color w:val="000000"/>
          <w:sz w:val="21"/>
          <w:szCs w:val="21"/>
          <w:lang w:val="en-US" w:eastAsia="zh-CN"/>
        </w:rPr>
        <w:t>陶永胜.贺兰山东麓霞多丽葡萄酒的香气成分活性及其指纹特征研究[J].宁夏林业,2019,3:55-61.</w:t>
      </w:r>
      <w:bookmarkStart w:id="45" w:name="_GoBack"/>
      <w:bookmarkEnd w:id="45"/>
    </w:p>
    <w:p>
      <w:pPr>
        <w:pStyle w:val="104"/>
        <w:spacing w:before="312" w:after="312"/>
        <w:rPr>
          <w:rFonts w:hint="eastAsia" w:hAnsi="宋体" w:cs="宋体"/>
          <w:color w:val="000000"/>
          <w:sz w:val="21"/>
          <w:szCs w:val="21"/>
          <w:lang w:val="en-US" w:eastAsia="zh-CN"/>
        </w:rPr>
      </w:pPr>
      <w:r>
        <w:rPr>
          <w:rFonts w:hint="eastAsia" w:hAnsi="宋体" w:cs="宋体"/>
          <w:color w:val="000000"/>
          <w:sz w:val="21"/>
          <w:szCs w:val="21"/>
          <w:lang w:val="en-US" w:eastAsia="zh-CN"/>
        </w:rPr>
        <w:t>质量要求</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感官要求</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酒样感官质量应符合GB/T 15037规定及相关标准。</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理化要求</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酒样理化质量应符合GB/T 15037规定及相关标准。</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其他质量管理规定</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酒样其他质量应符合GB/T 23543规定及相关标准。</w:t>
      </w:r>
    </w:p>
    <w:p>
      <w:pPr>
        <w:pStyle w:val="56"/>
        <w:ind w:firstLine="420"/>
        <w:rPr>
          <w:rFonts w:hint="eastAsia" w:hAnsi="宋体" w:cs="宋体"/>
          <w:color w:val="000000"/>
          <w:sz w:val="21"/>
          <w:szCs w:val="21"/>
          <w:lang w:val="en-US" w:eastAsia="zh-CN"/>
        </w:rPr>
      </w:pPr>
    </w:p>
    <w:p>
      <w:pPr>
        <w:pStyle w:val="56"/>
        <w:ind w:firstLine="420"/>
        <w:rPr>
          <w:rFonts w:hint="eastAsia" w:hAnsi="宋体" w:cs="宋体"/>
          <w:color w:val="000000"/>
          <w:sz w:val="21"/>
          <w:szCs w:val="21"/>
          <w:lang w:val="en-US" w:eastAsia="zh-CN"/>
        </w:rPr>
      </w:pPr>
    </w:p>
    <w:bookmarkEnd w:id="23"/>
    <w:p>
      <w:pPr>
        <w:pStyle w:val="56"/>
        <w:ind w:firstLine="0" w:firstLineChars="0"/>
        <w:jc w:val="center"/>
      </w:pPr>
      <w:bookmarkStart w:id="4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Bodoni MT Poster Compressed">
    <w:panose1 w:val="02070706080601050204"/>
    <w:charset w:val="00"/>
    <w:family w:val="auto"/>
    <w:pitch w:val="default"/>
    <w:sig w:usb0="00000003" w:usb1="00000000" w:usb2="00000000" w:usb3="00000000" w:csb0="2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64/T XXXX—2021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64/T XXXX—2021</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A91CC4F"/>
    <w:multiLevelType w:val="singleLevel"/>
    <w:tmpl w:val="3A91CC4F"/>
    <w:lvl w:ilvl="0" w:tentative="0">
      <w:start w:val="2"/>
      <w:numFmt w:val="decimal"/>
      <w:suff w:val="nothing"/>
      <w:lvlText w:val="（%1）"/>
      <w:lvlJc w:val="left"/>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BogdscexGzh1HmaHA1ftDak9Rmg1+DodkxZ6ztc6UyRm8MIzgIGA4tqwbf6ep9cMnMjtsGJ1XSEX&#10;yfc4zJYopA=====" w:salt="pSkvax5O3cNlPoxw/949j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D4BB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D26"/>
    <w:rsid w:val="000D0A9C"/>
    <w:rsid w:val="000D1795"/>
    <w:rsid w:val="000D329A"/>
    <w:rsid w:val="000D4B9C"/>
    <w:rsid w:val="000D4EB6"/>
    <w:rsid w:val="000D753B"/>
    <w:rsid w:val="000E3D6C"/>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013"/>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984"/>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5D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77F"/>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A17"/>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753"/>
    <w:rsid w:val="006D3126"/>
    <w:rsid w:val="006D3E96"/>
    <w:rsid w:val="006D4515"/>
    <w:rsid w:val="006D4BB1"/>
    <w:rsid w:val="006D6593"/>
    <w:rsid w:val="006E23EA"/>
    <w:rsid w:val="006F03A8"/>
    <w:rsid w:val="006F1259"/>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31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2EC"/>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3D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B46"/>
    <w:rsid w:val="00911BE5"/>
    <w:rsid w:val="00913CA9"/>
    <w:rsid w:val="009145AE"/>
    <w:rsid w:val="009146CE"/>
    <w:rsid w:val="00914CA7"/>
    <w:rsid w:val="0091597B"/>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8FB"/>
    <w:rsid w:val="009A72AD"/>
    <w:rsid w:val="009B09E0"/>
    <w:rsid w:val="009B0BC5"/>
    <w:rsid w:val="009B1247"/>
    <w:rsid w:val="009B6029"/>
    <w:rsid w:val="009B6971"/>
    <w:rsid w:val="009C27F1"/>
    <w:rsid w:val="009C3152"/>
    <w:rsid w:val="009C4CFA"/>
    <w:rsid w:val="009C5070"/>
    <w:rsid w:val="009D112C"/>
    <w:rsid w:val="009D47FA"/>
    <w:rsid w:val="009D4C5B"/>
    <w:rsid w:val="009D4F30"/>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685"/>
    <w:rsid w:val="00A57142"/>
    <w:rsid w:val="00A63465"/>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C19"/>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BB8"/>
    <w:rsid w:val="00BD52D7"/>
    <w:rsid w:val="00BD5AD2"/>
    <w:rsid w:val="00BE2098"/>
    <w:rsid w:val="00BE22F3"/>
    <w:rsid w:val="00BE5B52"/>
    <w:rsid w:val="00BE7B8D"/>
    <w:rsid w:val="00BF0993"/>
    <w:rsid w:val="00BF10A9"/>
    <w:rsid w:val="00BF1703"/>
    <w:rsid w:val="00BF1F22"/>
    <w:rsid w:val="00BF231C"/>
    <w:rsid w:val="00BF51E5"/>
    <w:rsid w:val="00BF74A6"/>
    <w:rsid w:val="00C013AD"/>
    <w:rsid w:val="00C04904"/>
    <w:rsid w:val="00C056B3"/>
    <w:rsid w:val="00C103E5"/>
    <w:rsid w:val="00C13319"/>
    <w:rsid w:val="00C13EE9"/>
    <w:rsid w:val="00C21540"/>
    <w:rsid w:val="00C218B9"/>
    <w:rsid w:val="00C21906"/>
    <w:rsid w:val="00C21BFA"/>
    <w:rsid w:val="00C22148"/>
    <w:rsid w:val="00C24C8D"/>
    <w:rsid w:val="00C25FE2"/>
    <w:rsid w:val="00C26B53"/>
    <w:rsid w:val="00C279B2"/>
    <w:rsid w:val="00C33E50"/>
    <w:rsid w:val="00C34C20"/>
    <w:rsid w:val="00C35A3E"/>
    <w:rsid w:val="00C42130"/>
    <w:rsid w:val="00C423A4"/>
    <w:rsid w:val="00C44BF5"/>
    <w:rsid w:val="00C4512F"/>
    <w:rsid w:val="00C521D6"/>
    <w:rsid w:val="00C55232"/>
    <w:rsid w:val="00C553A4"/>
    <w:rsid w:val="00C55A06"/>
    <w:rsid w:val="00C55D03"/>
    <w:rsid w:val="00C601BC"/>
    <w:rsid w:val="00C6329F"/>
    <w:rsid w:val="00C63340"/>
    <w:rsid w:val="00C643F9"/>
    <w:rsid w:val="00C64E95"/>
    <w:rsid w:val="00C65BF8"/>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24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63D"/>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9AF"/>
    <w:rsid w:val="00DC3067"/>
    <w:rsid w:val="00DC370B"/>
    <w:rsid w:val="00DC5B90"/>
    <w:rsid w:val="00DD00FF"/>
    <w:rsid w:val="00DD02FB"/>
    <w:rsid w:val="00DD0619"/>
    <w:rsid w:val="00DD07FB"/>
    <w:rsid w:val="00DD1B38"/>
    <w:rsid w:val="00DD25C6"/>
    <w:rsid w:val="00DD4FE5"/>
    <w:rsid w:val="00DD54B0"/>
    <w:rsid w:val="00DD57EE"/>
    <w:rsid w:val="00DD6BCC"/>
    <w:rsid w:val="00DE0A4B"/>
    <w:rsid w:val="00DE2410"/>
    <w:rsid w:val="00DE2939"/>
    <w:rsid w:val="00DE542F"/>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EA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4D7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3370"/>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59D4"/>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DFF"/>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2045A"/>
    <w:rsid w:val="02A1198C"/>
    <w:rsid w:val="02FD0060"/>
    <w:rsid w:val="03757CED"/>
    <w:rsid w:val="045A3333"/>
    <w:rsid w:val="04CD7842"/>
    <w:rsid w:val="05017C52"/>
    <w:rsid w:val="05852631"/>
    <w:rsid w:val="07421EBA"/>
    <w:rsid w:val="087762D3"/>
    <w:rsid w:val="08BA0844"/>
    <w:rsid w:val="0902108A"/>
    <w:rsid w:val="093700E7"/>
    <w:rsid w:val="096223BF"/>
    <w:rsid w:val="0A5A1219"/>
    <w:rsid w:val="0B7047F9"/>
    <w:rsid w:val="0C403756"/>
    <w:rsid w:val="0C48085D"/>
    <w:rsid w:val="0C566AD6"/>
    <w:rsid w:val="0D2B61B4"/>
    <w:rsid w:val="0DCE08EE"/>
    <w:rsid w:val="0DE97832"/>
    <w:rsid w:val="0EF652A0"/>
    <w:rsid w:val="0F1669F0"/>
    <w:rsid w:val="0FD65BDA"/>
    <w:rsid w:val="10DD7858"/>
    <w:rsid w:val="112A0531"/>
    <w:rsid w:val="113B0990"/>
    <w:rsid w:val="11805965"/>
    <w:rsid w:val="11B04EDA"/>
    <w:rsid w:val="11F32B0A"/>
    <w:rsid w:val="131741D7"/>
    <w:rsid w:val="14636234"/>
    <w:rsid w:val="14A96492"/>
    <w:rsid w:val="15915022"/>
    <w:rsid w:val="15A41C61"/>
    <w:rsid w:val="16005D04"/>
    <w:rsid w:val="165C1A47"/>
    <w:rsid w:val="179E7583"/>
    <w:rsid w:val="18610CDC"/>
    <w:rsid w:val="18B506EB"/>
    <w:rsid w:val="19362169"/>
    <w:rsid w:val="19CA465F"/>
    <w:rsid w:val="1A0D4588"/>
    <w:rsid w:val="1A800569"/>
    <w:rsid w:val="1AA475A6"/>
    <w:rsid w:val="1AAD2820"/>
    <w:rsid w:val="1AAE5D2F"/>
    <w:rsid w:val="1B8C20A0"/>
    <w:rsid w:val="1C2838BF"/>
    <w:rsid w:val="1C3E7702"/>
    <w:rsid w:val="1D1D0F4A"/>
    <w:rsid w:val="1E6307C9"/>
    <w:rsid w:val="1F04091B"/>
    <w:rsid w:val="1F4073AA"/>
    <w:rsid w:val="1F933300"/>
    <w:rsid w:val="200A7EAB"/>
    <w:rsid w:val="20133161"/>
    <w:rsid w:val="20656DC8"/>
    <w:rsid w:val="21515666"/>
    <w:rsid w:val="21B93937"/>
    <w:rsid w:val="21BA300B"/>
    <w:rsid w:val="21EF545F"/>
    <w:rsid w:val="220B1CB9"/>
    <w:rsid w:val="2297354C"/>
    <w:rsid w:val="239D2DE4"/>
    <w:rsid w:val="23DA1437"/>
    <w:rsid w:val="23F8626D"/>
    <w:rsid w:val="240B5FA0"/>
    <w:rsid w:val="248024EA"/>
    <w:rsid w:val="2492046F"/>
    <w:rsid w:val="24F02763"/>
    <w:rsid w:val="250E5D48"/>
    <w:rsid w:val="254A2AF8"/>
    <w:rsid w:val="25733DFD"/>
    <w:rsid w:val="25CD36BD"/>
    <w:rsid w:val="26BD2E3A"/>
    <w:rsid w:val="26CA3BB4"/>
    <w:rsid w:val="270E6815"/>
    <w:rsid w:val="273911D2"/>
    <w:rsid w:val="277A093D"/>
    <w:rsid w:val="28717098"/>
    <w:rsid w:val="28C037FD"/>
    <w:rsid w:val="290C363F"/>
    <w:rsid w:val="292813A2"/>
    <w:rsid w:val="29D84B76"/>
    <w:rsid w:val="2A7725E1"/>
    <w:rsid w:val="2AE97BF9"/>
    <w:rsid w:val="2AFF093C"/>
    <w:rsid w:val="2B964CE9"/>
    <w:rsid w:val="2C3C40F5"/>
    <w:rsid w:val="2C7262AD"/>
    <w:rsid w:val="2CDF7FCA"/>
    <w:rsid w:val="2D1F11BB"/>
    <w:rsid w:val="2E36630F"/>
    <w:rsid w:val="2E4647A4"/>
    <w:rsid w:val="2E903C71"/>
    <w:rsid w:val="2ECD0CEC"/>
    <w:rsid w:val="2F874BBE"/>
    <w:rsid w:val="2FE671C2"/>
    <w:rsid w:val="30024B76"/>
    <w:rsid w:val="30590093"/>
    <w:rsid w:val="30BD7EB5"/>
    <w:rsid w:val="32231F8C"/>
    <w:rsid w:val="32CE2B3D"/>
    <w:rsid w:val="32DD4FAB"/>
    <w:rsid w:val="331D1490"/>
    <w:rsid w:val="33B65F28"/>
    <w:rsid w:val="33EA7980"/>
    <w:rsid w:val="346076B1"/>
    <w:rsid w:val="34EF3626"/>
    <w:rsid w:val="36D87F64"/>
    <w:rsid w:val="372D0CD9"/>
    <w:rsid w:val="38A65E3F"/>
    <w:rsid w:val="392A6A70"/>
    <w:rsid w:val="39C148B6"/>
    <w:rsid w:val="3A483652"/>
    <w:rsid w:val="3A5937EA"/>
    <w:rsid w:val="3A7C0681"/>
    <w:rsid w:val="3B7364AD"/>
    <w:rsid w:val="3BA5090C"/>
    <w:rsid w:val="3C3245BA"/>
    <w:rsid w:val="3C5323F7"/>
    <w:rsid w:val="3C8F37BA"/>
    <w:rsid w:val="3CE8690F"/>
    <w:rsid w:val="3DAC657B"/>
    <w:rsid w:val="3EA846BF"/>
    <w:rsid w:val="3F1E2BD3"/>
    <w:rsid w:val="3FAD7E35"/>
    <w:rsid w:val="40E65824"/>
    <w:rsid w:val="40E90FBF"/>
    <w:rsid w:val="414D59F2"/>
    <w:rsid w:val="42123637"/>
    <w:rsid w:val="42300F20"/>
    <w:rsid w:val="423544BC"/>
    <w:rsid w:val="426B0C0B"/>
    <w:rsid w:val="42D66E31"/>
    <w:rsid w:val="436A0A4C"/>
    <w:rsid w:val="444D2D72"/>
    <w:rsid w:val="44C77869"/>
    <w:rsid w:val="450D1720"/>
    <w:rsid w:val="454711D7"/>
    <w:rsid w:val="459534C4"/>
    <w:rsid w:val="45DF273C"/>
    <w:rsid w:val="476745C6"/>
    <w:rsid w:val="478A51A9"/>
    <w:rsid w:val="47CF7161"/>
    <w:rsid w:val="47D452D0"/>
    <w:rsid w:val="47E04ECA"/>
    <w:rsid w:val="4876582E"/>
    <w:rsid w:val="487D4E85"/>
    <w:rsid w:val="488A4F67"/>
    <w:rsid w:val="48DC0588"/>
    <w:rsid w:val="49172B6D"/>
    <w:rsid w:val="495F27BF"/>
    <w:rsid w:val="49F64E79"/>
    <w:rsid w:val="4A02277B"/>
    <w:rsid w:val="4ACA3C0F"/>
    <w:rsid w:val="4ACB2881"/>
    <w:rsid w:val="4ADD3943"/>
    <w:rsid w:val="4B176112"/>
    <w:rsid w:val="4B40491C"/>
    <w:rsid w:val="4B6B14C2"/>
    <w:rsid w:val="4BC879CC"/>
    <w:rsid w:val="4BE81D25"/>
    <w:rsid w:val="4BFA2159"/>
    <w:rsid w:val="4D113D78"/>
    <w:rsid w:val="4D693BB4"/>
    <w:rsid w:val="4E035DB6"/>
    <w:rsid w:val="4E153789"/>
    <w:rsid w:val="4E265601"/>
    <w:rsid w:val="4EA604F0"/>
    <w:rsid w:val="4EDC6BBF"/>
    <w:rsid w:val="4EF2258E"/>
    <w:rsid w:val="4FAB7EB5"/>
    <w:rsid w:val="4FF82FCD"/>
    <w:rsid w:val="508F1B83"/>
    <w:rsid w:val="50FF327B"/>
    <w:rsid w:val="51055DAE"/>
    <w:rsid w:val="511F4DAC"/>
    <w:rsid w:val="521036D6"/>
    <w:rsid w:val="52407B1E"/>
    <w:rsid w:val="52481FEA"/>
    <w:rsid w:val="5330290C"/>
    <w:rsid w:val="53F8359B"/>
    <w:rsid w:val="5495703C"/>
    <w:rsid w:val="54EB1352"/>
    <w:rsid w:val="55A97406"/>
    <w:rsid w:val="571E1C8F"/>
    <w:rsid w:val="571F6A41"/>
    <w:rsid w:val="57325016"/>
    <w:rsid w:val="57AC4DC9"/>
    <w:rsid w:val="5838665C"/>
    <w:rsid w:val="594B184B"/>
    <w:rsid w:val="596C2A61"/>
    <w:rsid w:val="59745DBA"/>
    <w:rsid w:val="5A1D40F1"/>
    <w:rsid w:val="5AEA1C2E"/>
    <w:rsid w:val="5B3E5EC8"/>
    <w:rsid w:val="5BEA159D"/>
    <w:rsid w:val="5BEC6AB5"/>
    <w:rsid w:val="5C451348"/>
    <w:rsid w:val="5D535CE6"/>
    <w:rsid w:val="5E053485"/>
    <w:rsid w:val="5E2D4811"/>
    <w:rsid w:val="5E84084D"/>
    <w:rsid w:val="5E9A1E1F"/>
    <w:rsid w:val="5EB427B5"/>
    <w:rsid w:val="5EBA48F5"/>
    <w:rsid w:val="5F2018FB"/>
    <w:rsid w:val="605E1725"/>
    <w:rsid w:val="60CE0EE4"/>
    <w:rsid w:val="612956DC"/>
    <w:rsid w:val="61F45CEA"/>
    <w:rsid w:val="626E637A"/>
    <w:rsid w:val="63065CD5"/>
    <w:rsid w:val="63E853DA"/>
    <w:rsid w:val="64DF67D7"/>
    <w:rsid w:val="661A53D8"/>
    <w:rsid w:val="66645216"/>
    <w:rsid w:val="667473F9"/>
    <w:rsid w:val="668C60ED"/>
    <w:rsid w:val="66D734E4"/>
    <w:rsid w:val="674549BC"/>
    <w:rsid w:val="682D3D04"/>
    <w:rsid w:val="68F77E6E"/>
    <w:rsid w:val="68FE2FAA"/>
    <w:rsid w:val="690A0A82"/>
    <w:rsid w:val="6A260A0B"/>
    <w:rsid w:val="6ACD16F9"/>
    <w:rsid w:val="6AE6019A"/>
    <w:rsid w:val="6AE82164"/>
    <w:rsid w:val="6B2706FF"/>
    <w:rsid w:val="6B2A5D00"/>
    <w:rsid w:val="6C233473"/>
    <w:rsid w:val="6C6B4DFB"/>
    <w:rsid w:val="6C843A78"/>
    <w:rsid w:val="6FC860C0"/>
    <w:rsid w:val="70C966D2"/>
    <w:rsid w:val="718129CA"/>
    <w:rsid w:val="71DF38C2"/>
    <w:rsid w:val="72BB72FE"/>
    <w:rsid w:val="72C71A5F"/>
    <w:rsid w:val="72CE7E91"/>
    <w:rsid w:val="72E871A5"/>
    <w:rsid w:val="740835E5"/>
    <w:rsid w:val="740E4B68"/>
    <w:rsid w:val="745D771F"/>
    <w:rsid w:val="7467115D"/>
    <w:rsid w:val="752C0E9F"/>
    <w:rsid w:val="755503F6"/>
    <w:rsid w:val="75734D20"/>
    <w:rsid w:val="75BC2223"/>
    <w:rsid w:val="76286F0E"/>
    <w:rsid w:val="76684159"/>
    <w:rsid w:val="766F54E7"/>
    <w:rsid w:val="76CE78E6"/>
    <w:rsid w:val="77091498"/>
    <w:rsid w:val="77725FCF"/>
    <w:rsid w:val="77854779"/>
    <w:rsid w:val="786646C8"/>
    <w:rsid w:val="79D068E2"/>
    <w:rsid w:val="7A0425D4"/>
    <w:rsid w:val="7A367619"/>
    <w:rsid w:val="7A6310AB"/>
    <w:rsid w:val="7AD41B6C"/>
    <w:rsid w:val="7AE77D42"/>
    <w:rsid w:val="7B1A0118"/>
    <w:rsid w:val="7B256ABC"/>
    <w:rsid w:val="7B555B44"/>
    <w:rsid w:val="7BDA1655"/>
    <w:rsid w:val="7C080102"/>
    <w:rsid w:val="7C7C095E"/>
    <w:rsid w:val="7DA06444"/>
    <w:rsid w:val="7DE26685"/>
    <w:rsid w:val="7E38506C"/>
    <w:rsid w:val="7EA366EB"/>
    <w:rsid w:val="7F062761"/>
    <w:rsid w:val="7F0A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rFonts w:ascii="Times New Roman" w:hAnsi="Times New Roman" w:eastAsia="宋体" w:cs="Times New Roman"/>
      <w:b/>
      <w:bCs/>
      <w:kern w:val="44"/>
      <w:sz w:val="44"/>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basedOn w:val="28"/>
    <w:link w:val="231"/>
    <w:qFormat/>
    <w:locked/>
    <w:uiPriority w:val="0"/>
    <w:rPr>
      <w:rFonts w:ascii="宋体" w:hAns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2">
    <w:name w:val="一级条标题"/>
    <w:next w:val="1"/>
    <w:qFormat/>
    <w:uiPriority w:val="0"/>
    <w:pPr>
      <w:tabs>
        <w:tab w:val="left" w:pos="360"/>
      </w:tabs>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1"/>
    <w:qFormat/>
    <w:uiPriority w:val="0"/>
    <w:pPr>
      <w:tabs>
        <w:tab w:val="left" w:pos="360"/>
      </w:tabs>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无"/>
    <w:basedOn w:val="1"/>
    <w:qFormat/>
    <w:uiPriority w:val="0"/>
    <w:pPr>
      <w:widowControl/>
      <w:tabs>
        <w:tab w:val="left" w:pos="360"/>
      </w:tabs>
      <w:adjustRightInd/>
      <w:spacing w:line="240" w:lineRule="auto"/>
      <w:jc w:val="left"/>
      <w:outlineLvl w:val="3"/>
    </w:pPr>
    <w:rPr>
      <w:rFonts w:ascii="宋体" w:hAnsi="Times New Roman"/>
      <w:kern w:val="0"/>
    </w:rPr>
  </w:style>
  <w:style w:type="paragraph" w:customStyle="1" w:styleId="235">
    <w:name w:val="二级条标题"/>
    <w:basedOn w:val="1"/>
    <w:next w:val="1"/>
    <w:qFormat/>
    <w:uiPriority w:val="0"/>
    <w:pPr>
      <w:widowControl/>
      <w:tabs>
        <w:tab w:val="left" w:pos="360"/>
      </w:tabs>
      <w:adjustRightInd/>
      <w:spacing w:beforeLines="50" w:afterLines="50" w:line="240" w:lineRule="auto"/>
      <w:jc w:val="left"/>
      <w:outlineLvl w:val="3"/>
    </w:pPr>
    <w:rPr>
      <w:rFonts w:ascii="黑体" w:hAnsi="Times New Roman" w:eastAsia="黑体"/>
      <w:kern w:val="0"/>
    </w:rPr>
  </w:style>
  <w:style w:type="paragraph" w:customStyle="1" w:styleId="236">
    <w:name w:val="三级无"/>
    <w:basedOn w:val="1"/>
    <w:qFormat/>
    <w:uiPriority w:val="0"/>
    <w:pPr>
      <w:widowControl/>
      <w:tabs>
        <w:tab w:val="left" w:pos="360"/>
      </w:tabs>
      <w:adjustRightInd/>
      <w:spacing w:line="240" w:lineRule="auto"/>
      <w:jc w:val="left"/>
      <w:outlineLvl w:val="4"/>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F6D3DC75F845C4B74070C7E62CF51D"/>
        <w:style w:val=""/>
        <w:category>
          <w:name w:val="常规"/>
          <w:gallery w:val="placeholder"/>
        </w:category>
        <w:types>
          <w:type w:val="bbPlcHdr"/>
        </w:types>
        <w:behaviors>
          <w:behavior w:val="content"/>
        </w:behaviors>
        <w:description w:val=""/>
        <w:guid w:val="{26D8AD54-7280-4CC9-9C14-C7940156B7CA}"/>
      </w:docPartPr>
      <w:docPartBody>
        <w:p>
          <w:pPr>
            <w:pStyle w:val="5"/>
          </w:pPr>
          <w:r>
            <w:rPr>
              <w:rStyle w:val="4"/>
              <w:rFonts w:hint="eastAsia"/>
            </w:rPr>
            <w:t>单击或点击此处输入文字。</w:t>
          </w:r>
        </w:p>
      </w:docPartBody>
    </w:docPart>
    <w:docPart>
      <w:docPartPr>
        <w:name w:val="D8D65B8972CB4628A890164273C78AFE"/>
        <w:style w:val=""/>
        <w:category>
          <w:name w:val="常规"/>
          <w:gallery w:val="placeholder"/>
        </w:category>
        <w:types>
          <w:type w:val="bbPlcHdr"/>
        </w:types>
        <w:behaviors>
          <w:behavior w:val="content"/>
        </w:behaviors>
        <w:description w:val=""/>
        <w:guid w:val="{270C6BFE-EB40-42AE-B291-06B0F4747D0B}"/>
      </w:docPartPr>
      <w:docPartBody>
        <w:p>
          <w:pPr>
            <w:pStyle w:val="6"/>
          </w:pPr>
          <w:r>
            <w:rPr>
              <w:rStyle w:val="4"/>
              <w:rFonts w:hint="eastAsia"/>
            </w:rPr>
            <w:t>选择一项。</w:t>
          </w:r>
        </w:p>
      </w:docPartBody>
    </w:docPart>
    <w:docPart>
      <w:docPartPr>
        <w:name w:val="0AF60965451A46728B91977FC5551EA4"/>
        <w:style w:val=""/>
        <w:category>
          <w:name w:val="常规"/>
          <w:gallery w:val="placeholder"/>
        </w:category>
        <w:types>
          <w:type w:val="bbPlcHdr"/>
        </w:types>
        <w:behaviors>
          <w:behavior w:val="content"/>
        </w:behaviors>
        <w:description w:val=""/>
        <w:guid w:val="{431359A7-2EBA-46D9-84C1-1B14CD3DBE7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4AF"/>
    <w:rsid w:val="00457858"/>
    <w:rsid w:val="004D6A44"/>
    <w:rsid w:val="00821F81"/>
    <w:rsid w:val="00CF44AF"/>
    <w:rsid w:val="00FA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C2F6D3DC75F845C4B74070C7E62CF5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8D65B8972CB4628A890164273C78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AF60965451A46728B91977FC5551EA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2F0DE-890C-45D6-B1B0-A5E9229E901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577</Words>
  <Characters>3294</Characters>
  <Lines>27</Lines>
  <Paragraphs>7</Paragraphs>
  <TotalTime>0</TotalTime>
  <ScaleCrop>false</ScaleCrop>
  <LinksUpToDate>false</LinksUpToDate>
  <CharactersWithSpaces>3864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2021-05-18T02:23:00Z</dcterms:created>
  <dc:creator>86133</dc:creator>
  <dc:description>&lt;config cover="true" show_menu="true" version="1.0.0" doctype="SDKXY"&gt;_x000d_
&lt;/config&gt;</dc:description>
  <cp:lastModifiedBy>WPS_1615056636</cp:lastModifiedBy>
  <cp:lastPrinted>2020-08-30T10:00:00Z</cp:lastPrinted>
  <dcterms:modified xsi:type="dcterms:W3CDTF">2021-12-15T08:40:22Z</dcterms:modified>
  <dc:title>地方标准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2052-11.1.0.11115</vt:lpwstr>
  </property>
  <property fmtid="{D5CDD505-2E9C-101B-9397-08002B2CF9AE}" pid="15" name="ICV">
    <vt:lpwstr>6213CFA8BAC84E899168716CD90AF35B</vt:lpwstr>
  </property>
</Properties>
</file>