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U8iB9UAAAAJAQAADwAAAAAAAAABACAAAAA4AAAAZHJzL2Rvd25yZXYueG1sUEsBAhQAFAAA&#10;AAgAh07iQFalqtgVAgAAEgQAAA4AAAAAAAAAAQAgAAAAOgEAAGRycy9lMm9Eb2MueG1sUEsFBgAA&#10;AAAGAAYAWQEAAME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right="0"/>
        <w:jc w:val="both"/>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关于自治区政协十</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届</w:t>
      </w:r>
      <w:r>
        <w:rPr>
          <w:rFonts w:hint="default" w:ascii="Times New Roman" w:hAnsi="Times New Roman" w:eastAsia="方正小标宋简体" w:cs="Times New Roman"/>
          <w:spacing w:val="0"/>
          <w:sz w:val="44"/>
          <w:szCs w:val="44"/>
          <w:lang w:eastAsia="zh-CN"/>
        </w:rPr>
        <w:t>三</w:t>
      </w:r>
      <w:r>
        <w:rPr>
          <w:rFonts w:hint="default" w:ascii="Times New Roman" w:hAnsi="Times New Roman" w:eastAsia="方正小标宋简体" w:cs="Times New Roman"/>
          <w:spacing w:val="0"/>
          <w:sz w:val="44"/>
          <w:szCs w:val="44"/>
        </w:rPr>
        <w:t>次会议第</w:t>
      </w:r>
      <w:r>
        <w:rPr>
          <w:rFonts w:hint="default" w:ascii="Times New Roman" w:hAnsi="Times New Roman" w:eastAsia="方正小标宋简体" w:cs="Times New Roman"/>
          <w:spacing w:val="0"/>
          <w:sz w:val="44"/>
          <w:szCs w:val="44"/>
          <w:lang w:val="en-US" w:eastAsia="zh-CN"/>
        </w:rPr>
        <w:t>248号提案</w:t>
      </w: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自治区农业农村厅</w:t>
      </w:r>
      <w:r>
        <w:rPr>
          <w:rFonts w:hint="default" w:ascii="Times New Roman" w:hAnsi="Times New Roman" w:eastAsia="仿宋_GB2312" w:cs="Times New Roman"/>
          <w:spacing w:val="0"/>
          <w:sz w:val="32"/>
          <w:szCs w:val="32"/>
          <w:lang w:eastAsia="zh-CN"/>
        </w:rPr>
        <w:t>：</w:t>
      </w:r>
    </w:p>
    <w:p>
      <w:pPr>
        <w:pStyle w:val="16"/>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jc w:val="both"/>
        <w:textAlignment w:val="baseline"/>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ascii="Times New Roman" w:hAnsi="Times New Roman"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现就</w:t>
      </w:r>
      <w:r>
        <w:rPr>
          <w:rFonts w:hint="eastAsia" w:ascii="Times New Roman" w:hAnsi="Times New Roman" w:eastAsia="仿宋_GB2312" w:cs="Times New Roman"/>
          <w:snapToGrid w:val="0"/>
          <w:color w:val="000000"/>
          <w:spacing w:val="0"/>
          <w:kern w:val="0"/>
          <w:sz w:val="32"/>
          <w:szCs w:val="32"/>
          <w:lang w:val="en-US" w:eastAsia="zh-CN" w:bidi="ar-SA"/>
        </w:rPr>
        <w:t>王芳平提案者</w:t>
      </w:r>
      <w:r>
        <w:rPr>
          <w:rFonts w:hint="default" w:ascii="Times New Roman" w:hAnsi="Times New Roman" w:eastAsia="仿宋_GB2312" w:cs="Times New Roman"/>
          <w:snapToGrid w:val="0"/>
          <w:color w:val="000000"/>
          <w:spacing w:val="0"/>
          <w:kern w:val="0"/>
          <w:sz w:val="32"/>
          <w:szCs w:val="32"/>
          <w:lang w:val="en-US" w:eastAsia="zh-CN" w:bidi="ar-SA"/>
        </w:rPr>
        <w:t>提出的《关于</w:t>
      </w:r>
      <w:r>
        <w:rPr>
          <w:rFonts w:hint="eastAsia" w:ascii="Times New Roman" w:hAnsi="Times New Roman" w:eastAsia="仿宋_GB2312" w:cs="Times New Roman"/>
          <w:snapToGrid w:val="0"/>
          <w:color w:val="000000"/>
          <w:spacing w:val="0"/>
          <w:kern w:val="0"/>
          <w:sz w:val="32"/>
          <w:szCs w:val="32"/>
          <w:lang w:val="en-US" w:eastAsia="zh-CN" w:bidi="ar-SA"/>
        </w:rPr>
        <w:t>宁夏农产品产业集群化发展的提案</w:t>
      </w:r>
      <w:r>
        <w:rPr>
          <w:rFonts w:hint="default" w:ascii="Times New Roman" w:hAnsi="Times New Roman" w:eastAsia="仿宋_GB2312" w:cs="Times New Roman"/>
          <w:snapToGrid w:val="0"/>
          <w:color w:val="000000"/>
          <w:spacing w:val="0"/>
          <w:kern w:val="0"/>
          <w:sz w:val="32"/>
          <w:szCs w:val="32"/>
          <w:lang w:val="en-US" w:eastAsia="zh-CN" w:bidi="ar-SA"/>
        </w:rPr>
        <w:t>》，提出如下协办意见：</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一、工作进展</w:t>
      </w:r>
    </w:p>
    <w:p>
      <w:pPr>
        <w:pStyle w:val="16"/>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0" w:firstLineChars="0"/>
        <w:jc w:val="both"/>
        <w:textAlignment w:val="baseline"/>
        <w:outlineLvl w:val="9"/>
        <w:rPr>
          <w:rFonts w:hint="eastAsia" w:ascii="Times New Roman" w:hAnsi="Times New Roman" w:eastAsia="仿宋_GB2312" w:cs="Times New Roman"/>
          <w:snapToGrid w:val="0"/>
          <w:color w:val="000000"/>
          <w:spacing w:val="0"/>
          <w:kern w:val="0"/>
          <w:sz w:val="32"/>
          <w:szCs w:val="32"/>
          <w:lang w:val="en-US" w:eastAsia="zh-CN" w:bidi="ar-SA"/>
        </w:rPr>
      </w:pPr>
      <w:r>
        <w:rPr>
          <w:rFonts w:hint="eastAsia" w:ascii="楷体_GB2312" w:hAnsi="楷体_GB2312" w:eastAsia="楷体_GB2312" w:cs="楷体_GB2312"/>
          <w:b/>
          <w:bCs/>
          <w:sz w:val="32"/>
          <w:szCs w:val="32"/>
          <w:lang w:val="en-US" w:eastAsia="zh-CN"/>
        </w:rPr>
        <w:t xml:space="preserve">    （一）强化葡萄酒市场监管。</w:t>
      </w:r>
      <w:r>
        <w:rPr>
          <w:rFonts w:hint="eastAsia" w:ascii="Times New Roman" w:hAnsi="Times New Roman" w:eastAsia="仿宋_GB2312" w:cs="Times New Roman"/>
          <w:snapToGrid w:val="0"/>
          <w:color w:val="000000"/>
          <w:spacing w:val="0"/>
          <w:kern w:val="0"/>
          <w:sz w:val="32"/>
          <w:szCs w:val="32"/>
          <w:lang w:val="en-US" w:eastAsia="zh-CN" w:bidi="ar-SA"/>
        </w:rPr>
        <w:t>宁夏贺兰山东麓葡萄酒产业园区管委会联合自治区市场监管厅、公安厅、农业农村厅于近日印发《关于联合开展贺兰山东麓葡萄酒产区投入品及产品质量安全检查行动工作方案》，于2025年5月至8月在贺兰山东麓葡萄酒产区开展投入品及产品质量安全检查行动，重点开展苗木质量安全抽查、种植环节投入品质量安全检查、生产加工环节质量安全检查、市场流通环节检查、商标、地理标志标签标识规范使用检查。5月19日，组织召开联合开展贺兰山东麓葡萄酒产区投入品及产品质量安全检查行动推进会，对检查行动再动员再部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Times New Roman" w:hAnsi="Times New Roman" w:eastAsia="仿宋_GB2312" w:cs="Times New Roman"/>
          <w:snapToGrid w:val="0"/>
          <w:color w:val="000000"/>
          <w:spacing w:val="0"/>
          <w:kern w:val="0"/>
          <w:sz w:val="32"/>
          <w:szCs w:val="32"/>
          <w:lang w:val="en-US" w:eastAsia="zh-CN" w:bidi="ar-SA"/>
        </w:rPr>
      </w:pPr>
      <w:r>
        <w:rPr>
          <w:rFonts w:hint="eastAsia" w:ascii="楷体_GB2312" w:hAnsi="楷体_GB2312" w:eastAsia="楷体_GB2312" w:cs="楷体_GB2312"/>
          <w:b/>
          <w:bCs/>
          <w:sz w:val="32"/>
          <w:szCs w:val="32"/>
          <w:lang w:val="en-US" w:eastAsia="zh-CN"/>
        </w:rPr>
        <w:t>（二）项目政策带动葡萄酒产业集群发展。</w:t>
      </w:r>
      <w:r>
        <w:rPr>
          <w:rFonts w:hint="eastAsia" w:ascii="仿宋_GB2312" w:hAnsi="仿宋_GB2312" w:eastAsia="仿宋_GB2312" w:cs="仿宋_GB2312"/>
          <w:sz w:val="32"/>
          <w:szCs w:val="32"/>
          <w:lang w:val="en-US" w:eastAsia="zh-CN"/>
        </w:rPr>
        <w:t>宁夏国家葡萄及葡萄酒产业集群项目进展顺利，重点实施低产低效葡萄园改造提升、仓储物流中心建设、成果转化、产学研用、</w:t>
      </w:r>
      <w:r>
        <w:rPr>
          <w:rFonts w:hint="eastAsia" w:ascii="Times New Roman" w:hAnsi="Times New Roman" w:eastAsia="仿宋_GB2312" w:cs="Times New Roman"/>
          <w:snapToGrid w:val="0"/>
          <w:color w:val="000000"/>
          <w:spacing w:val="0"/>
          <w:kern w:val="0"/>
          <w:sz w:val="32"/>
          <w:szCs w:val="32"/>
          <w:lang w:val="en-US" w:eastAsia="zh-CN" w:bidi="ar-SA"/>
        </w:rPr>
        <w:t>品牌营销等项目。</w:t>
      </w:r>
      <w:r>
        <w:rPr>
          <w:rFonts w:hint="default" w:ascii="Times New Roman" w:hAnsi="Times New Roman" w:eastAsia="仿宋_GB2312" w:cs="Times New Roman"/>
          <w:sz w:val="32"/>
          <w:szCs w:val="32"/>
          <w:lang w:val="en-US" w:eastAsia="zh-CN"/>
        </w:rPr>
        <w:t>2025年续建方案通过农业农村部评审，</w:t>
      </w:r>
      <w:r>
        <w:rPr>
          <w:rFonts w:hint="eastAsia" w:ascii="Times New Roman" w:hAnsi="Times New Roman" w:eastAsia="仿宋_GB2312" w:cs="Times New Roman"/>
          <w:sz w:val="32"/>
          <w:szCs w:val="32"/>
          <w:lang w:val="en-US" w:eastAsia="zh-CN"/>
        </w:rPr>
        <w:t>争取中央财政资金0.5亿元，</w:t>
      </w:r>
      <w:r>
        <w:rPr>
          <w:rFonts w:hint="default" w:ascii="Times New Roman" w:hAnsi="Times New Roman" w:eastAsia="仿宋_GB2312" w:cs="Times New Roman"/>
          <w:sz w:val="32"/>
          <w:szCs w:val="32"/>
          <w:lang w:val="en-US" w:eastAsia="zh-CN"/>
        </w:rPr>
        <w:t>计划完成</w:t>
      </w:r>
      <w:r>
        <w:rPr>
          <w:rFonts w:hint="eastAsia" w:ascii="Times New Roman" w:hAnsi="Times New Roman" w:eastAsia="仿宋_GB2312" w:cs="Times New Roman"/>
          <w:sz w:val="32"/>
          <w:szCs w:val="32"/>
          <w:lang w:val="en-US" w:eastAsia="zh-CN"/>
        </w:rPr>
        <w:t>总</w:t>
      </w:r>
      <w:r>
        <w:rPr>
          <w:rFonts w:hint="default" w:ascii="Times New Roman" w:hAnsi="Times New Roman" w:eastAsia="仿宋_GB2312" w:cs="Times New Roman"/>
          <w:sz w:val="32"/>
          <w:szCs w:val="32"/>
          <w:lang w:val="en-US" w:eastAsia="zh-CN"/>
        </w:rPr>
        <w:t>投资3.1亿元。</w:t>
      </w:r>
      <w:r>
        <w:rPr>
          <w:rFonts w:hint="eastAsia" w:ascii="仿宋_GB2312" w:hAnsi="仿宋_GB2312" w:eastAsia="仿宋_GB2312" w:cs="仿宋_GB2312"/>
          <w:sz w:val="32"/>
          <w:szCs w:val="32"/>
          <w:lang w:val="en-US" w:eastAsia="zh-CN"/>
        </w:rPr>
        <w:t>贺兰山东麓葡萄酒产区入选工业和信息化部传统优势食品产区和地方特色食品产业重点培育名单。采取贴息补贴、销售奖励等，</w:t>
      </w:r>
      <w:r>
        <w:rPr>
          <w:rFonts w:hint="eastAsia" w:ascii="Times New Roman" w:hAnsi="Times New Roman" w:eastAsia="仿宋_GB2312" w:cs="Times New Roman"/>
          <w:snapToGrid w:val="0"/>
          <w:color w:val="000000"/>
          <w:spacing w:val="0"/>
          <w:kern w:val="0"/>
          <w:sz w:val="32"/>
          <w:szCs w:val="32"/>
          <w:lang w:val="en-US" w:eastAsia="zh-CN" w:bidi="ar-SA"/>
        </w:rPr>
        <w:t>鼓励企业扩大规模、提升技术创新能力和市场拓展能力。</w:t>
      </w:r>
      <w:r>
        <w:rPr>
          <w:rFonts w:hint="eastAsia" w:ascii="仿宋_GB2312" w:hAnsi="仿宋_GB2312" w:eastAsia="仿宋_GB2312" w:cs="仿宋_GB2312"/>
          <w:sz w:val="32"/>
          <w:szCs w:val="32"/>
          <w:lang w:val="en-US" w:eastAsia="zh-CN"/>
        </w:rPr>
        <w:t>根据产业发展和酒庄需求，正在对葡萄酒产业高质量发展资金支持方向和重点进行调整，</w:t>
      </w:r>
      <w:r>
        <w:rPr>
          <w:rFonts w:hint="eastAsia" w:ascii="Times New Roman" w:hAnsi="Times New Roman" w:eastAsia="仿宋_GB2312" w:cs="Times New Roman"/>
          <w:snapToGrid w:val="0"/>
          <w:color w:val="000000"/>
          <w:spacing w:val="0"/>
          <w:kern w:val="0"/>
          <w:sz w:val="32"/>
          <w:szCs w:val="32"/>
          <w:lang w:val="en-US" w:eastAsia="zh-CN" w:bidi="ar-SA"/>
        </w:rPr>
        <w:t>支持产业集群化发展、品牌化提升。</w:t>
      </w:r>
      <w:r>
        <w:rPr>
          <w:rFonts w:hint="eastAsia" w:ascii="Times New Roman" w:hAnsi="Times New Roman" w:eastAsia="仿宋_GB2312" w:cs="Times New Roman"/>
          <w:color w:val="auto"/>
          <w:spacing w:val="0"/>
          <w:sz w:val="32"/>
          <w:szCs w:val="32"/>
          <w:lang w:val="en-US" w:eastAsia="zh-CN"/>
        </w:rPr>
        <w:t>制定《关于进一步促进国家葡萄及葡萄酒产业开放发展综合试验区高质量发展的意见》，整合国家部委项目资金推动产业发展。</w:t>
      </w:r>
    </w:p>
    <w:p>
      <w:pPr>
        <w:pStyle w:val="16"/>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0" w:firstLineChars="0"/>
        <w:jc w:val="both"/>
        <w:textAlignment w:val="baseline"/>
        <w:outlineLvl w:val="9"/>
        <w:rPr>
          <w:rFonts w:hint="default" w:ascii="Times New Roman" w:hAnsi="Times New Roman" w:eastAsia="仿宋_GB2312" w:cs="Times New Roman"/>
          <w:color w:val="auto"/>
          <w:spacing w:val="0"/>
          <w:w w:val="100"/>
          <w:kern w:val="0"/>
          <w:position w:val="0"/>
          <w:sz w:val="32"/>
          <w:szCs w:val="32"/>
          <w:u w:val="none"/>
          <w:lang w:val="en-US" w:eastAsia="zh-CN" w:bidi="ar-SA"/>
        </w:rPr>
      </w:pPr>
      <w:r>
        <w:rPr>
          <w:rFonts w:hint="eastAsia" w:ascii="Times New Roman" w:hAnsi="Times New Roman" w:eastAsia="仿宋_GB2312" w:cs="Times New Roman"/>
          <w:snapToGrid w:val="0"/>
          <w:color w:val="000000"/>
          <w:spacing w:val="0"/>
          <w:kern w:val="0"/>
          <w:sz w:val="32"/>
          <w:szCs w:val="32"/>
          <w:lang w:val="en-US" w:eastAsia="zh-CN" w:bidi="ar-SA"/>
        </w:rPr>
        <w:t>　　</w:t>
      </w:r>
      <w:r>
        <w:rPr>
          <w:rFonts w:hint="eastAsia" w:ascii="楷体_GB2312" w:hAnsi="楷体_GB2312" w:eastAsia="楷体_GB2312" w:cs="楷体_GB2312"/>
          <w:b/>
          <w:bCs/>
          <w:sz w:val="32"/>
          <w:szCs w:val="32"/>
          <w:lang w:val="en-US" w:eastAsia="zh-CN"/>
        </w:rPr>
        <w:t>（三）开展要素市场化配置。</w:t>
      </w:r>
      <w:r>
        <w:rPr>
          <w:rFonts w:hint="eastAsia" w:ascii="Times New Roman" w:hAnsi="Times New Roman" w:eastAsia="仿宋_GB2312" w:cs="Times New Roman"/>
          <w:color w:val="auto"/>
          <w:spacing w:val="0"/>
          <w:w w:val="100"/>
          <w:kern w:val="0"/>
          <w:position w:val="0"/>
          <w:sz w:val="32"/>
          <w:szCs w:val="32"/>
          <w:u w:val="none"/>
          <w:lang w:val="en-US" w:eastAsia="zh-CN" w:bidi="ar-SA"/>
        </w:rPr>
        <w:t>为有效</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解决</w:t>
      </w:r>
      <w:r>
        <w:rPr>
          <w:rFonts w:hint="eastAsia" w:ascii="Times New Roman" w:hAnsi="Times New Roman" w:eastAsia="仿宋_GB2312" w:cs="Times New Roman"/>
          <w:color w:val="auto"/>
          <w:spacing w:val="0"/>
          <w:w w:val="100"/>
          <w:kern w:val="0"/>
          <w:position w:val="0"/>
          <w:sz w:val="32"/>
          <w:szCs w:val="32"/>
          <w:u w:val="none"/>
          <w:lang w:val="en-US" w:eastAsia="zh-CN" w:bidi="ar-SA"/>
        </w:rPr>
        <w:t>土地长期经营、</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酒庄</w:t>
      </w:r>
      <w:r>
        <w:rPr>
          <w:rFonts w:hint="eastAsia" w:ascii="Times New Roman" w:hAnsi="Times New Roman" w:eastAsia="仿宋_GB2312" w:cs="Times New Roman"/>
          <w:color w:val="auto"/>
          <w:spacing w:val="0"/>
          <w:w w:val="100"/>
          <w:kern w:val="0"/>
          <w:position w:val="0"/>
          <w:sz w:val="32"/>
          <w:szCs w:val="32"/>
          <w:u w:val="none"/>
          <w:lang w:val="en-US" w:eastAsia="zh-CN" w:bidi="ar-SA"/>
        </w:rPr>
        <w:t>（企业）融资贷款和市场销售等制约葡萄酒产业发展的</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瓶颈问题，借鉴福建福鼎及湖南冷水滩要素改革成功经验，我委</w:t>
      </w:r>
      <w:r>
        <w:rPr>
          <w:rStyle w:val="14"/>
          <w:rFonts w:hint="default" w:ascii="Times New Roman" w:hAnsi="Times New Roman" w:eastAsia="仿宋_GB2312" w:cs="Times New Roman"/>
          <w:b w:val="0"/>
          <w:bCs w:val="0"/>
          <w:caps w:val="0"/>
          <w:color w:val="auto"/>
          <w:spacing w:val="0"/>
          <w:w w:val="100"/>
          <w:kern w:val="13"/>
          <w:sz w:val="32"/>
          <w:szCs w:val="32"/>
          <w:u w:val="none"/>
          <w:lang w:val="en-US" w:eastAsia="zh-CN" w:bidi="ar-SA"/>
        </w:rPr>
        <w:t>会同</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清华海峡研究院制订了</w:t>
      </w:r>
      <w:r>
        <w:rPr>
          <w:rStyle w:val="14"/>
          <w:rFonts w:hint="default" w:ascii="Times New Roman" w:hAnsi="Times New Roman" w:eastAsia="仿宋_GB2312" w:cs="Times New Roman"/>
          <w:b w:val="0"/>
          <w:bCs w:val="0"/>
          <w:caps w:val="0"/>
          <w:color w:val="auto"/>
          <w:spacing w:val="0"/>
          <w:w w:val="100"/>
          <w:kern w:val="13"/>
          <w:sz w:val="32"/>
          <w:szCs w:val="32"/>
          <w:u w:val="none"/>
          <w:lang w:val="en-US" w:eastAsia="zh-CN" w:bidi="ar-SA"/>
        </w:rPr>
        <w:t>《</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构建</w:t>
      </w:r>
      <w:r>
        <w:rPr>
          <w:rStyle w:val="14"/>
          <w:rFonts w:hint="default" w:ascii="Times New Roman" w:hAnsi="Times New Roman" w:eastAsia="仿宋_GB2312" w:cs="Times New Roman"/>
          <w:b w:val="0"/>
          <w:bCs w:val="0"/>
          <w:caps w:val="0"/>
          <w:color w:val="auto"/>
          <w:spacing w:val="0"/>
          <w:w w:val="100"/>
          <w:kern w:val="13"/>
          <w:sz w:val="32"/>
          <w:szCs w:val="32"/>
          <w:u w:val="none"/>
          <w:lang w:val="en-US" w:eastAsia="zh-CN" w:bidi="ar-SA"/>
        </w:rPr>
        <w:t>国家葡萄及葡萄酒产业开放发展综合试验区</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要素市场化配置体制机制实施方案</w:t>
      </w:r>
      <w:r>
        <w:rPr>
          <w:rStyle w:val="14"/>
          <w:rFonts w:hint="default" w:ascii="Times New Roman" w:hAnsi="Times New Roman" w:eastAsia="仿宋_GB2312" w:cs="Times New Roman"/>
          <w:b w:val="0"/>
          <w:bCs w:val="0"/>
          <w:caps w:val="0"/>
          <w:color w:val="auto"/>
          <w:spacing w:val="0"/>
          <w:w w:val="100"/>
          <w:kern w:val="13"/>
          <w:sz w:val="32"/>
          <w:szCs w:val="32"/>
          <w:u w:val="none"/>
          <w:lang w:val="en-US" w:eastAsia="zh-CN" w:bidi="ar-SA"/>
        </w:rPr>
        <w:t>》</w:t>
      </w:r>
      <w:r>
        <w:rPr>
          <w:rStyle w:val="14"/>
          <w:rFonts w:hint="eastAsia" w:ascii="Times New Roman" w:hAnsi="Times New Roman" w:eastAsia="仿宋_GB2312" w:cs="Times New Roman"/>
          <w:b w:val="0"/>
          <w:bCs w:val="0"/>
          <w:caps w:val="0"/>
          <w:color w:val="auto"/>
          <w:spacing w:val="0"/>
          <w:w w:val="100"/>
          <w:kern w:val="13"/>
          <w:sz w:val="32"/>
          <w:szCs w:val="32"/>
          <w:u w:val="none"/>
          <w:lang w:val="en-US" w:eastAsia="zh-CN" w:bidi="ar-SA"/>
        </w:rPr>
        <w:t>及配套的6个实施细则。目前，方案经</w:t>
      </w:r>
      <w:r>
        <w:rPr>
          <w:rFonts w:hint="eastAsia" w:ascii="Times New Roman" w:hAnsi="Times New Roman" w:eastAsia="仿宋_GB2312" w:cs="Times New Roman"/>
          <w:color w:val="auto"/>
          <w:spacing w:val="0"/>
          <w:w w:val="100"/>
          <w:kern w:val="0"/>
          <w:position w:val="0"/>
          <w:sz w:val="32"/>
          <w:szCs w:val="32"/>
          <w:u w:val="none"/>
          <w:lang w:val="en-US" w:eastAsia="zh-CN" w:bidi="ar-SA"/>
        </w:rPr>
        <w:t>自治区政府专题会议2次研究、4月29日</w:t>
      </w:r>
      <w:r>
        <w:rPr>
          <w:rFonts w:hint="default" w:ascii="Times New Roman" w:hAnsi="Times New Roman" w:eastAsia="仿宋_GB2312" w:cs="Times New Roman"/>
          <w:color w:val="auto"/>
          <w:spacing w:val="0"/>
          <w:w w:val="100"/>
          <w:kern w:val="0"/>
          <w:position w:val="0"/>
          <w:sz w:val="32"/>
          <w:szCs w:val="32"/>
          <w:u w:val="none"/>
          <w:lang w:val="en-US" w:eastAsia="zh-CN" w:bidi="ar-SA"/>
        </w:rPr>
        <w:t>常务会议</w:t>
      </w:r>
      <w:r>
        <w:rPr>
          <w:rFonts w:hint="eastAsia" w:ascii="Times New Roman" w:hAnsi="Times New Roman" w:eastAsia="仿宋_GB2312" w:cs="Times New Roman"/>
          <w:color w:val="auto"/>
          <w:spacing w:val="0"/>
          <w:w w:val="100"/>
          <w:kern w:val="0"/>
          <w:position w:val="0"/>
          <w:sz w:val="32"/>
          <w:szCs w:val="32"/>
          <w:u w:val="none"/>
          <w:lang w:val="en-US" w:eastAsia="zh-CN" w:bidi="ar-SA"/>
        </w:rPr>
        <w:t>审议，已报自治区党委审定，同步开展要素市场化公司组建工作。通过要素市场化配置为葡萄酒企业提供融资支持，降低融资成本。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黑体" w:hAnsi="黑体" w:eastAsia="黑体" w:cs="黑体"/>
          <w:snapToGrid w:val="0"/>
          <w:color w:val="000000"/>
          <w:spacing w:val="0"/>
          <w:kern w:val="0"/>
          <w:sz w:val="32"/>
          <w:szCs w:val="32"/>
          <w:lang w:val="en-US" w:eastAsia="zh-CN" w:bidi="ar-SA"/>
        </w:rPr>
      </w:pPr>
      <w:r>
        <w:rPr>
          <w:rFonts w:hint="eastAsia" w:ascii="黑体" w:hAnsi="黑体" w:eastAsia="黑体" w:cs="黑体"/>
          <w:snapToGrid w:val="0"/>
          <w:color w:val="000000"/>
          <w:spacing w:val="0"/>
          <w:kern w:val="0"/>
          <w:sz w:val="32"/>
          <w:szCs w:val="32"/>
          <w:lang w:val="en-US" w:eastAsia="zh-CN" w:bidi="ar-SA"/>
        </w:rPr>
        <w:t>二、下一步工作</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一是持续强化葡萄酒市场监管。</w:t>
      </w:r>
      <w:r>
        <w:rPr>
          <w:rFonts w:hint="eastAsia" w:ascii="Times New Roman" w:hAnsi="Times New Roman" w:eastAsia="仿宋_GB2312" w:cs="Times New Roman"/>
          <w:snapToGrid w:val="0"/>
          <w:color w:val="000000"/>
          <w:spacing w:val="0"/>
          <w:kern w:val="0"/>
          <w:sz w:val="32"/>
          <w:szCs w:val="32"/>
          <w:lang w:val="en-US" w:eastAsia="zh-CN" w:bidi="ar-SA"/>
        </w:rPr>
        <w:t>联合自治区市场监管厅、公安厅、农业农村厅，对贺兰山东麓葡萄酒产区开展投入品及产品质量安全情况进行抽查，发现问题及时解决。</w:t>
      </w:r>
      <w:r>
        <w:rPr>
          <w:rFonts w:hint="eastAsia" w:ascii="Times New Roman" w:hAnsi="Times New Roman" w:eastAsia="仿宋_GB2312" w:cs="Times New Roman"/>
          <w:b/>
          <w:bCs/>
          <w:snapToGrid w:val="0"/>
          <w:color w:val="000000"/>
          <w:spacing w:val="0"/>
          <w:kern w:val="0"/>
          <w:sz w:val="32"/>
          <w:szCs w:val="32"/>
          <w:lang w:val="en-US" w:eastAsia="zh-CN" w:bidi="ar-SA"/>
        </w:rPr>
        <w:t>二是加大项目实施力度。</w:t>
      </w:r>
      <w:r>
        <w:rPr>
          <w:rFonts w:hint="eastAsia" w:ascii="仿宋_GB2312" w:hAnsi="仿宋_GB2312" w:eastAsia="仿宋_GB2312" w:cs="仿宋_GB2312"/>
          <w:sz w:val="32"/>
          <w:szCs w:val="32"/>
          <w:lang w:val="en-US" w:eastAsia="zh-CN"/>
        </w:rPr>
        <w:t>推动构建综试区要素市场化配置体制机制，畅通要素流动渠道，为酒庄融资提供便利。实施好宁夏葡萄及葡萄酒优势特色产业集群项目，以集群优势推动产业发展。</w:t>
      </w:r>
      <w:r>
        <w:rPr>
          <w:rFonts w:hint="eastAsia" w:ascii="Times New Roman" w:hAnsi="Times New Roman" w:eastAsia="仿宋_GB2312" w:cs="Times New Roman"/>
          <w:b/>
          <w:bCs/>
          <w:snapToGrid w:val="0"/>
          <w:color w:val="000000"/>
          <w:spacing w:val="0"/>
          <w:kern w:val="0"/>
          <w:sz w:val="32"/>
          <w:szCs w:val="32"/>
          <w:lang w:val="en-US" w:eastAsia="zh-CN" w:bidi="ar-SA"/>
        </w:rPr>
        <w:t>三是优化政策支持。</w:t>
      </w:r>
      <w:r>
        <w:rPr>
          <w:rFonts w:hint="eastAsia" w:ascii="仿宋_GB2312" w:hAnsi="仿宋_GB2312" w:eastAsia="仿宋_GB2312" w:cs="仿宋_GB2312"/>
          <w:sz w:val="32"/>
          <w:szCs w:val="32"/>
          <w:lang w:val="en-US" w:eastAsia="zh-CN"/>
        </w:rPr>
        <w:t>争取印发《关于进一步促进国家葡萄及葡萄酒产业开放发展综合试验区高质量发展的意见》，进一步争取国家部委和自治区关于项目扶持、土地利用、基础配套等方面的政策支持。因地制宜对现有扶持政策进行优化，培优酒庄，培强产区。</w:t>
      </w: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05"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pPr>
        <w:pStyle w:val="4"/>
        <w:keepNext w:val="0"/>
        <w:keepLines w:val="0"/>
        <w:pageBreakBefore w:val="0"/>
        <w:widowControl w:val="0"/>
        <w:kinsoku/>
        <w:wordWrap/>
        <w:overflowPunct/>
        <w:topLinePunct w:val="0"/>
        <w:autoSpaceDE/>
        <w:autoSpaceDN/>
        <w:bidi/>
        <w:adjustRightInd/>
        <w:snapToGrid/>
        <w:spacing w:line="520" w:lineRule="exact"/>
        <w:ind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w:t>
      </w:r>
      <w:r>
        <w:rPr>
          <w:rFonts w:hint="eastAsia" w:ascii="Times New Roman" w:hAnsi="Times New Roman" w:eastAsia="仿宋_GB2312" w:cs="Times New Roman"/>
          <w:color w:val="auto"/>
          <w:sz w:val="32"/>
          <w:szCs w:val="32"/>
          <w:lang w:val="en-US" w:eastAsia="zh-CN"/>
        </w:rPr>
        <w:t>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1600" w:firstLineChars="500"/>
        <w:jc w:val="left"/>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产业发展处</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李如意</w:t>
      </w:r>
      <w:r>
        <w:rPr>
          <w:rFonts w:hint="eastAsia" w:ascii="Times New Roman" w:hAnsi="Times New Roman" w:eastAsia="仿宋_GB2312" w:cs="Times New Roman"/>
          <w:spacing w:val="0"/>
          <w:sz w:val="32"/>
          <w:szCs w:val="32"/>
          <w:lang w:val="en-US" w:eastAsia="zh-CN"/>
        </w:rPr>
        <w:t>13639517872</w:t>
      </w: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bookmarkStart w:id="0" w:name="_GoBack"/>
      <w:bookmarkEnd w:id="0"/>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rPr>
          <w:rFonts w:hint="eastAsia" w:ascii="Times New Roman" w:hAnsi="Times New Roman" w:eastAsia="仿宋_GB2312" w:cs="Times New Roman"/>
          <w:spacing w:val="0"/>
          <w:sz w:val="32"/>
          <w:szCs w:val="32"/>
          <w:lang w:val="en-US" w:eastAsia="zh-CN"/>
        </w:rPr>
      </w:pPr>
    </w:p>
    <w:p>
      <w:pPr>
        <w:pStyle w:val="2"/>
        <w:rPr>
          <w:rFonts w:hint="eastAsia" w:ascii="Times New Roman" w:hAnsi="Times New Roman" w:eastAsia="仿宋_GB2312" w:cs="Times New Roman"/>
          <w:spacing w:val="0"/>
          <w:sz w:val="32"/>
          <w:szCs w:val="32"/>
          <w:lang w:val="en-US" w:eastAsia="zh-CN"/>
        </w:rPr>
      </w:pPr>
    </w:p>
    <w:p>
      <w:pPr>
        <w:pStyle w:val="4"/>
        <w:rPr>
          <w:rFonts w:hint="eastAsia" w:ascii="Times New Roman" w:hAnsi="Times New Roman" w:eastAsia="仿宋_GB2312" w:cs="Times New Roman"/>
          <w:spacing w:val="0"/>
          <w:sz w:val="32"/>
          <w:szCs w:val="32"/>
          <w:lang w:val="en-US" w:eastAsia="zh-CN"/>
        </w:rPr>
      </w:pPr>
    </w:p>
    <w:p>
      <w:pPr>
        <w:pStyle w:val="2"/>
        <w:rPr>
          <w:rFonts w:hint="eastAsia"/>
          <w:lang w:val="en-US" w:eastAsia="zh-CN"/>
        </w:rPr>
      </w:pPr>
    </w:p>
    <w:tbl>
      <w:tblPr>
        <w:tblStyle w:val="10"/>
        <w:tblpPr w:leftFromText="180" w:rightFromText="180" w:vertAnchor="text" w:horzAnchor="page" w:tblpX="1600" w:tblpY="959"/>
        <w:tblOverlap w:val="never"/>
        <w:tblW w:w="488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pStyle w:val="5"/>
              <w:keepNext w:val="0"/>
              <w:keepLines w:val="0"/>
              <w:pageBreakBefore w:val="0"/>
              <w:widowControl w:val="0"/>
              <w:kinsoku/>
              <w:wordWrap/>
              <w:overflowPunct/>
              <w:topLinePunct w:val="0"/>
              <w:bidi w:val="0"/>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 w:cs="Times New Roman"/>
          <w:sz w:val="28"/>
          <w:szCs w:val="28"/>
          <w:vertAlign w:val="baseline"/>
          <w:lang w:val="en-US" w:eastAsia="zh-CN"/>
        </w:rPr>
      </w:pPr>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DhlNWQ3Mzg1YjE4ZTQwNzhlOTA4NWRkZDhhMGMifQ=="/>
  </w:docVars>
  <w:rsids>
    <w:rsidRoot w:val="067F4033"/>
    <w:rsid w:val="01040720"/>
    <w:rsid w:val="02015B6A"/>
    <w:rsid w:val="026F56B8"/>
    <w:rsid w:val="032F673F"/>
    <w:rsid w:val="05092FAB"/>
    <w:rsid w:val="05755697"/>
    <w:rsid w:val="067F4033"/>
    <w:rsid w:val="073836D3"/>
    <w:rsid w:val="07D55F8C"/>
    <w:rsid w:val="0B6A792F"/>
    <w:rsid w:val="122E3A09"/>
    <w:rsid w:val="12E60425"/>
    <w:rsid w:val="138875A1"/>
    <w:rsid w:val="18DE355E"/>
    <w:rsid w:val="1A4408B5"/>
    <w:rsid w:val="1AEB263A"/>
    <w:rsid w:val="1BBD7954"/>
    <w:rsid w:val="1CEB6DC6"/>
    <w:rsid w:val="1D560285"/>
    <w:rsid w:val="1D6152DA"/>
    <w:rsid w:val="23911724"/>
    <w:rsid w:val="24ED0FDA"/>
    <w:rsid w:val="25262FA9"/>
    <w:rsid w:val="25FC28AD"/>
    <w:rsid w:val="2682784F"/>
    <w:rsid w:val="26F80355"/>
    <w:rsid w:val="28CB3F50"/>
    <w:rsid w:val="29A80F84"/>
    <w:rsid w:val="2B0100FD"/>
    <w:rsid w:val="2B3D1C2D"/>
    <w:rsid w:val="2C365B84"/>
    <w:rsid w:val="2C575327"/>
    <w:rsid w:val="2ED6401F"/>
    <w:rsid w:val="304C4163"/>
    <w:rsid w:val="33B41362"/>
    <w:rsid w:val="340A66A5"/>
    <w:rsid w:val="347D3C45"/>
    <w:rsid w:val="37ED5C91"/>
    <w:rsid w:val="38C97203"/>
    <w:rsid w:val="39717C8E"/>
    <w:rsid w:val="3A0719C4"/>
    <w:rsid w:val="3B7F7B3D"/>
    <w:rsid w:val="3CBF5058"/>
    <w:rsid w:val="3CE211B5"/>
    <w:rsid w:val="3D2211B1"/>
    <w:rsid w:val="3D8D3ECC"/>
    <w:rsid w:val="3DC521E5"/>
    <w:rsid w:val="3DFD6502"/>
    <w:rsid w:val="3E6C7F5D"/>
    <w:rsid w:val="3EA63DC4"/>
    <w:rsid w:val="3F2F6B8F"/>
    <w:rsid w:val="422624CB"/>
    <w:rsid w:val="426052B1"/>
    <w:rsid w:val="429A6930"/>
    <w:rsid w:val="44B707B8"/>
    <w:rsid w:val="451A208F"/>
    <w:rsid w:val="47FD3B5A"/>
    <w:rsid w:val="48D72771"/>
    <w:rsid w:val="48F660A8"/>
    <w:rsid w:val="49346D41"/>
    <w:rsid w:val="49DB1DED"/>
    <w:rsid w:val="4A0E6251"/>
    <w:rsid w:val="4B6978CC"/>
    <w:rsid w:val="4D761E2D"/>
    <w:rsid w:val="4D9E4ADF"/>
    <w:rsid w:val="4E260345"/>
    <w:rsid w:val="4E8567CB"/>
    <w:rsid w:val="4EA30A98"/>
    <w:rsid w:val="4F1C2AA2"/>
    <w:rsid w:val="4F9E4D6D"/>
    <w:rsid w:val="4FD73056"/>
    <w:rsid w:val="530C5AE1"/>
    <w:rsid w:val="534921D0"/>
    <w:rsid w:val="56D4592B"/>
    <w:rsid w:val="58057DDE"/>
    <w:rsid w:val="5FBF35DE"/>
    <w:rsid w:val="61C34D4B"/>
    <w:rsid w:val="62E47B0C"/>
    <w:rsid w:val="64644411"/>
    <w:rsid w:val="64FC1D27"/>
    <w:rsid w:val="65181CEF"/>
    <w:rsid w:val="675B2367"/>
    <w:rsid w:val="690A7BA1"/>
    <w:rsid w:val="6A3B7207"/>
    <w:rsid w:val="6C7812C6"/>
    <w:rsid w:val="6D232E55"/>
    <w:rsid w:val="6F0D3F47"/>
    <w:rsid w:val="6F1C418A"/>
    <w:rsid w:val="70F51248"/>
    <w:rsid w:val="712832BA"/>
    <w:rsid w:val="71B07B9E"/>
    <w:rsid w:val="723F30B1"/>
    <w:rsid w:val="762878B8"/>
    <w:rsid w:val="77302BD6"/>
    <w:rsid w:val="780A69A0"/>
    <w:rsid w:val="7994575A"/>
    <w:rsid w:val="79B7335B"/>
    <w:rsid w:val="7B8E4662"/>
    <w:rsid w:val="7C3746C0"/>
    <w:rsid w:val="7C4709C6"/>
    <w:rsid w:val="7D6A07B6"/>
    <w:rsid w:val="7DA96E2E"/>
    <w:rsid w:val="7ECB4A45"/>
    <w:rsid w:val="7F1033A7"/>
    <w:rsid w:val="7FF371EA"/>
    <w:rsid w:val="E76F626B"/>
    <w:rsid w:val="EEFB3A08"/>
    <w:rsid w:val="FBDFA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w:basedOn w:val="1"/>
    <w:next w:val="6"/>
    <w:qFormat/>
    <w:uiPriority w:val="0"/>
    <w:pPr>
      <w:spacing w:after="120"/>
    </w:pPr>
  </w:style>
  <w:style w:type="paragraph" w:styleId="6">
    <w:name w:val="Body Text First Indent"/>
    <w:basedOn w:val="5"/>
    <w:next w:val="5"/>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7">
    <w:name w:val="Plain Text"/>
    <w:basedOn w:val="1"/>
    <w:qFormat/>
    <w:uiPriority w:val="0"/>
    <w:rPr>
      <w:rFonts w:ascii="宋体" w:hAnsi="Courier New" w:cs="Courier New"/>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1 Char Char Char Char Char Char"/>
    <w:basedOn w:val="1"/>
    <w:link w:val="12"/>
    <w:qFormat/>
    <w:uiPriority w:val="0"/>
    <w:pPr>
      <w:widowControl/>
      <w:spacing w:after="160" w:afterLines="0" w:line="240" w:lineRule="exact"/>
      <w:jc w:val="left"/>
    </w:pPr>
  </w:style>
  <w:style w:type="character" w:styleId="14">
    <w:name w:val="Hyperlink"/>
    <w:basedOn w:val="12"/>
    <w:qFormat/>
    <w:uiPriority w:val="0"/>
    <w:rPr>
      <w:color w:val="0000FF"/>
      <w:u w:val="singl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1291</Words>
  <Characters>1329</Characters>
  <Lines>0</Lines>
  <Paragraphs>0</Paragraphs>
  <TotalTime>0</TotalTime>
  <ScaleCrop>false</ScaleCrop>
  <LinksUpToDate>false</LinksUpToDate>
  <CharactersWithSpaces>1362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2024-04-25T17:47:00Z</dcterms:created>
  <dc:creator>Esperarán</dc:creator>
  <cp:lastModifiedBy>麻美子</cp:lastModifiedBy>
  <cp:lastPrinted>2025-06-26T22:14:00Z</cp:lastPrinted>
  <dcterms:modified xsi:type="dcterms:W3CDTF">2025-06-26T16:23:34Z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540AB081EB7EFD2565F25C6845A6F7A9_43</vt:lpwstr>
  </property>
  <property fmtid="{D5CDD505-2E9C-101B-9397-08002B2CF9AE}" pid="4" name="KSOTemplateDocerSaveRecord">
    <vt:lpwstr>eyJoZGlkIjoiYTk0OTNhZDk1ZWUyZjRiZDEyMWI1Nzg1ZGYyYjRmYTQiLCJ1c2VySWQiOiI2OTM2NTQwMjQifQ==</vt:lpwstr>
  </property>
</Properties>
</file>