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w w:val="43"/>
          <w:sz w:val="94"/>
          <w:szCs w:val="94"/>
        </w:rPr>
      </w:pPr>
      <w:r>
        <w:rPr>
          <w:w w:val="43"/>
          <w:sz w:val="94"/>
          <w:szCs w:val="94"/>
        </w:rPr>
        <mc:AlternateContent>
          <mc:Choice Requires="wpg">
            <w:drawing>
              <wp:anchor distT="0" distB="0" distL="114300" distR="114300" simplePos="0" relativeHeight="251658240" behindDoc="0" locked="0" layoutInCell="1" allowOverlap="1">
                <wp:simplePos x="0" y="0"/>
                <wp:positionH relativeFrom="column">
                  <wp:posOffset>55880</wp:posOffset>
                </wp:positionH>
                <wp:positionV relativeFrom="paragraph">
                  <wp:posOffset>866140</wp:posOffset>
                </wp:positionV>
                <wp:extent cx="5561965" cy="43815"/>
                <wp:effectExtent l="0" t="0" r="0" b="0"/>
                <wp:wrapNone/>
                <wp:docPr id="5" name="组合 17"/>
                <wp:cNvGraphicFramePr/>
                <a:graphic xmlns:a="http://schemas.openxmlformats.org/drawingml/2006/main">
                  <a:graphicData uri="http://schemas.microsoft.com/office/word/2010/wordprocessingGroup">
                    <wpg:wgp>
                      <wpg:cNvGrpSpPr/>
                      <wpg:grpSpPr>
                        <a:xfrm>
                          <a:off x="0" y="0"/>
                          <a:ext cx="5561965" cy="43815"/>
                          <a:chOff x="0" y="0"/>
                          <a:chExt cx="8759" cy="69"/>
                        </a:xfrm>
                      </wpg:grpSpPr>
                      <wps:wsp>
                        <wps:cNvPr id="3" name="直线 12"/>
                        <wps:cNvSpPr/>
                        <wps:spPr>
                          <a:xfrm>
                            <a:off x="3" y="0"/>
                            <a:ext cx="8756" cy="1"/>
                          </a:xfrm>
                          <a:prstGeom prst="line">
                            <a:avLst/>
                          </a:prstGeom>
                          <a:ln w="25400" cap="flat" cmpd="sng">
                            <a:solidFill>
                              <a:srgbClr val="FF0000"/>
                            </a:solidFill>
                            <a:prstDash val="solid"/>
                            <a:headEnd type="none" w="med" len="med"/>
                            <a:tailEnd type="none" w="med" len="med"/>
                          </a:ln>
                        </wps:spPr>
                        <wps:bodyPr upright="1"/>
                      </wps:wsp>
                      <wps:wsp>
                        <wps:cNvPr id="4" name="直线 12"/>
                        <wps:cNvSpPr/>
                        <wps:spPr>
                          <a:xfrm>
                            <a:off x="0" y="69"/>
                            <a:ext cx="8756"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17" o:spid="_x0000_s1026" o:spt="203" style="position:absolute;left:0pt;margin-left:4.4pt;margin-top:68.2pt;height:3.45pt;width:437.95pt;z-index:251658240;mso-width-relative:page;mso-height-relative:page;" coordsize="8759,69" o:gfxdata="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CcsldgA&#10;AAAJAQAADwAAAAAAAAABACAAAAAiAAAAZHJzL2Rvd25yZXYueG1sUEsBAhQAFAAAAAgAh07iQAVP&#10;KnlYAgAAsAYAAA4AAAAAAAAAAQAgAAAAJwEAAGRycy9lMm9Eb2MueG1sUEsFBgAAAAAGAAYAWQEA&#10;APEFAAAAAA==&#10;">
                <o:lock v:ext="edit" grouping="f" rotation="f" text="f" aspectratio="f"/>
                <v:line id="直线 12" o:spid="_x0000_s1026" o:spt="20" style="position:absolute;left:3;top:0;height:1;width:8756;" filled="f" stroked="t" coordsize="21600,21600" o:gfxdata="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MgKvQAA&#10;ANoAAAAPAAAAAAAAAAEAIAAAACIAAABkcnMvZG93bnJldi54bWxQSwECFAAUAAAACACHTuJAMy8F&#10;njsAAAA5AAAAEAAAAAAAAAABACAAAAAMAQAAZHJzL3NoYXBleG1sLnhtbFBLBQYAAAAABgAGAFsB&#10;AAC2AwAAAAA=&#10;">
                  <v:fill on="f" focussize="0,0"/>
                  <v:stroke weight="2pt" color="#FF0000" joinstyle="round"/>
                  <v:imagedata o:title=""/>
                  <o:lock v:ext="edit" aspectratio="f"/>
                </v:line>
                <v:line id="直线 12" o:spid="_x0000_s1026" o:spt="20" style="position:absolute;left:0;top:69;height:1;width:8756;" filled="f" stroked="t" coordsize="21600,21600" o:gfxdata="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9oqRy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w w:val="43"/>
          <w:sz w:val="94"/>
          <w:szCs w:val="94"/>
        </w:rPr>
        <w:t>宁夏贺兰山东麓葡萄产业园区管理委员会办公室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b w:val="0"/>
          <w:bCs w:val="0"/>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方正小标宋简体" w:hAnsi="方正小标宋简体" w:eastAsia="方正小标宋简体" w:cs="方正小标宋简体"/>
          <w:b w:val="0"/>
          <w:bCs w:val="0"/>
          <w:spacing w:val="0"/>
          <w:kern w:val="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b w:val="0"/>
          <w:bCs w:val="0"/>
          <w:spacing w:val="0"/>
          <w:kern w:val="2"/>
          <w:sz w:val="44"/>
          <w:szCs w:val="44"/>
        </w:rPr>
        <w:t>关于</w:t>
      </w:r>
      <w:r>
        <w:rPr>
          <w:rFonts w:hint="eastAsia" w:ascii="方正小标宋简体" w:hAnsi="方正小标宋简体" w:eastAsia="方正小标宋简体" w:cs="方正小标宋简体"/>
          <w:b w:val="0"/>
          <w:bCs w:val="0"/>
          <w:spacing w:val="0"/>
          <w:kern w:val="2"/>
          <w:sz w:val="44"/>
          <w:szCs w:val="44"/>
          <w:lang w:eastAsia="zh-CN"/>
        </w:rPr>
        <w:t>报送《</w:t>
      </w:r>
      <w:r>
        <w:rPr>
          <w:rFonts w:hint="eastAsia" w:ascii="方正小标宋简体" w:hAnsi="方正小标宋简体" w:eastAsia="方正小标宋简体" w:cs="方正小标宋简体"/>
          <w:spacing w:val="0"/>
          <w:sz w:val="44"/>
          <w:szCs w:val="44"/>
        </w:rPr>
        <w:t>宁夏贺兰山东麓葡萄产业园区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简体" w:hAnsi="方正小标宋简体" w:eastAsia="方正小标宋简体" w:cs="方正小标宋简体"/>
          <w:b w:val="0"/>
          <w:bCs w:val="0"/>
          <w:spacing w:val="0"/>
          <w:kern w:val="2"/>
          <w:sz w:val="44"/>
          <w:szCs w:val="44"/>
          <w:lang w:val="en-US" w:eastAsia="zh-CN" w:bidi="ar-SA"/>
        </w:rPr>
      </w:pPr>
      <w:r>
        <w:rPr>
          <w:rFonts w:hint="eastAsia" w:ascii="方正小标宋简体" w:hAnsi="方正小标宋简体" w:eastAsia="方正小标宋简体" w:cs="方正小标宋简体"/>
          <w:spacing w:val="0"/>
          <w:sz w:val="44"/>
          <w:szCs w:val="44"/>
        </w:rPr>
        <w:t>管委会办公室</w:t>
      </w:r>
      <w:r>
        <w:rPr>
          <w:rFonts w:ascii="方正小标宋简体" w:hAnsi="方正小标宋简体" w:eastAsia="方正小标宋简体" w:cs="方正小标宋简体"/>
          <w:b w:val="0"/>
          <w:bCs w:val="0"/>
          <w:spacing w:val="0"/>
          <w:sz w:val="44"/>
          <w:szCs w:val="44"/>
        </w:rPr>
        <w:t>2</w:t>
      </w:r>
      <w:r>
        <w:rPr>
          <w:rFonts w:hint="eastAsia" w:ascii="方正小标宋简体" w:hAnsi="方正小标宋简体" w:eastAsia="方正小标宋简体" w:cs="方正小标宋简体"/>
          <w:b w:val="0"/>
          <w:bCs w:val="0"/>
          <w:spacing w:val="0"/>
          <w:kern w:val="2"/>
          <w:sz w:val="44"/>
          <w:szCs w:val="44"/>
          <w:lang w:val="en-US" w:eastAsia="zh-CN"/>
        </w:rPr>
        <w:t>018年</w:t>
      </w:r>
      <w:r>
        <w:rPr>
          <w:rFonts w:hint="eastAsia" w:ascii="方正小标宋简体" w:hAnsi="方正小标宋简体" w:eastAsia="方正小标宋简体" w:cs="方正小标宋简体"/>
          <w:b w:val="0"/>
          <w:bCs w:val="0"/>
          <w:spacing w:val="0"/>
          <w:kern w:val="2"/>
          <w:sz w:val="44"/>
          <w:szCs w:val="44"/>
          <w:lang w:val="en-US" w:eastAsia="zh-CN" w:bidi="ar-SA"/>
        </w:rPr>
        <w:t>政务公开工作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ascii="方正小标宋简体" w:hAnsi="方正小标宋简体" w:eastAsia="方正小标宋简体" w:cs="方正小标宋简体"/>
          <w:b w:val="0"/>
          <w:bCs w:val="0"/>
          <w:spacing w:val="0"/>
          <w:kern w:val="2"/>
          <w:sz w:val="44"/>
          <w:szCs w:val="44"/>
        </w:rPr>
      </w:pPr>
      <w:r>
        <w:rPr>
          <w:rFonts w:hint="eastAsia" w:ascii="方正小标宋简体" w:hAnsi="方正小标宋简体" w:eastAsia="方正小标宋简体" w:cs="方正小标宋简体"/>
          <w:b w:val="0"/>
          <w:bCs w:val="0"/>
          <w:spacing w:val="0"/>
          <w:kern w:val="2"/>
          <w:sz w:val="44"/>
          <w:szCs w:val="44"/>
          <w:lang w:val="en-US" w:eastAsia="zh-CN" w:bidi="ar-SA"/>
        </w:rPr>
        <w:t>实施方案</w:t>
      </w:r>
      <w:r>
        <w:rPr>
          <w:rFonts w:hint="eastAsia" w:ascii="方正小标宋简体" w:hAnsi="方正小标宋简体" w:eastAsia="方正小标宋简体" w:cs="方正小标宋简体"/>
          <w:b w:val="0"/>
          <w:bCs w:val="0"/>
          <w:spacing w:val="0"/>
          <w:kern w:val="2"/>
          <w:sz w:val="44"/>
          <w:szCs w:val="44"/>
          <w:lang w:eastAsia="zh-CN"/>
        </w:rPr>
        <w:t>》</w:t>
      </w:r>
      <w:r>
        <w:rPr>
          <w:rFonts w:hint="eastAsia" w:ascii="方正小标宋简体" w:hAnsi="方正小标宋简体" w:eastAsia="方正小标宋简体" w:cs="方正小标宋简体"/>
          <w:b w:val="0"/>
          <w:bCs w:val="0"/>
          <w:spacing w:val="0"/>
          <w:kern w:val="2"/>
          <w:sz w:val="44"/>
          <w:szCs w:val="44"/>
          <w:lang w:val="en-US" w:eastAsia="zh-CN" w:bidi="ar-SA"/>
        </w:rPr>
        <w:t>的函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自治区人民政府办公厅</w:t>
      </w:r>
      <w:r>
        <w:rPr>
          <w:rFonts w:hint="eastAsia" w:ascii="仿宋_GB2312" w:hAnsi="仿宋_GB2312" w:eastAsia="仿宋_GB2312" w:cs="仿宋_GB2312"/>
          <w:spacing w:val="0"/>
          <w:sz w:val="32"/>
          <w:szCs w:val="32"/>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ascii="仿宋_GB2312" w:hAnsi="方正小标宋简体" w:eastAsia="仿宋_GB2312" w:cs="方正小标宋简体"/>
          <w:b w:val="0"/>
          <w:bCs w:val="0"/>
          <w:spacing w:val="0"/>
          <w:sz w:val="32"/>
          <w:szCs w:val="32"/>
        </w:rPr>
      </w:pPr>
      <w:r>
        <w:rPr>
          <w:rFonts w:hint="eastAsia" w:ascii="仿宋_GB2312" w:hAnsi="仿宋_GB2312" w:eastAsia="仿宋_GB2312" w:cs="仿宋_GB2312"/>
          <w:b w:val="0"/>
          <w:bCs w:val="0"/>
          <w:spacing w:val="0"/>
          <w:kern w:val="0"/>
          <w:sz w:val="32"/>
          <w:szCs w:val="32"/>
          <w:lang w:eastAsia="zh-CN"/>
        </w:rPr>
        <w:t>根据</w:t>
      </w:r>
      <w:r>
        <w:rPr>
          <w:rFonts w:hint="eastAsia" w:ascii="仿宋_GB2312" w:hAnsi="仿宋_GB2312" w:eastAsia="仿宋_GB2312" w:cs="仿宋_GB2312"/>
          <w:b w:val="0"/>
          <w:bCs w:val="0"/>
          <w:spacing w:val="0"/>
          <w:kern w:val="0"/>
          <w:sz w:val="32"/>
          <w:szCs w:val="32"/>
        </w:rPr>
        <w:t>《自治区人民政府办公厅关于印发</w:t>
      </w:r>
      <w:r>
        <w:rPr>
          <w:rFonts w:hint="eastAsia" w:ascii="仿宋_GB2312" w:hAnsi="仿宋_GB2312" w:eastAsia="仿宋_GB2312" w:cs="仿宋_GB2312"/>
          <w:b w:val="0"/>
          <w:bCs w:val="0"/>
          <w:spacing w:val="0"/>
          <w:kern w:val="0"/>
          <w:sz w:val="32"/>
          <w:szCs w:val="32"/>
          <w:lang w:val="en-US" w:eastAsia="zh-CN"/>
        </w:rPr>
        <w:t>2018年</w:t>
      </w:r>
      <w:r>
        <w:rPr>
          <w:rFonts w:hint="eastAsia" w:ascii="仿宋_GB2312" w:hAnsi="仿宋_GB2312" w:eastAsia="仿宋_GB2312" w:cs="仿宋_GB2312"/>
          <w:b w:val="0"/>
          <w:bCs w:val="0"/>
          <w:spacing w:val="0"/>
          <w:kern w:val="0"/>
          <w:sz w:val="32"/>
          <w:szCs w:val="32"/>
        </w:rPr>
        <w:t>政务公开工作</w:t>
      </w:r>
      <w:r>
        <w:rPr>
          <w:rFonts w:hint="eastAsia" w:ascii="仿宋_GB2312" w:hAnsi="仿宋_GB2312" w:eastAsia="仿宋_GB2312" w:cs="仿宋_GB2312"/>
          <w:b w:val="0"/>
          <w:bCs w:val="0"/>
          <w:spacing w:val="0"/>
          <w:kern w:val="0"/>
          <w:sz w:val="32"/>
          <w:szCs w:val="32"/>
          <w:lang w:eastAsia="zh-CN"/>
        </w:rPr>
        <w:t>要点</w:t>
      </w:r>
      <w:r>
        <w:rPr>
          <w:rFonts w:hint="eastAsia" w:ascii="仿宋_GB2312" w:hAnsi="仿宋_GB2312" w:eastAsia="仿宋_GB2312" w:cs="仿宋_GB2312"/>
          <w:b w:val="0"/>
          <w:bCs w:val="0"/>
          <w:spacing w:val="0"/>
          <w:kern w:val="0"/>
          <w:sz w:val="32"/>
          <w:szCs w:val="32"/>
        </w:rPr>
        <w:t>的通知》（宁政办发〔201</w:t>
      </w:r>
      <w:r>
        <w:rPr>
          <w:rFonts w:hint="eastAsia" w:ascii="仿宋_GB2312" w:hAnsi="仿宋_GB2312" w:eastAsia="仿宋_GB2312" w:cs="仿宋_GB2312"/>
          <w:b w:val="0"/>
          <w:bCs w:val="0"/>
          <w:spacing w:val="0"/>
          <w:kern w:val="0"/>
          <w:sz w:val="32"/>
          <w:szCs w:val="32"/>
          <w:lang w:val="en-US" w:eastAsia="zh-CN"/>
        </w:rPr>
        <w:t>8</w:t>
      </w:r>
      <w:r>
        <w:rPr>
          <w:rFonts w:hint="eastAsia" w:ascii="仿宋_GB2312" w:hAnsi="仿宋_GB2312" w:eastAsia="仿宋_GB2312" w:cs="仿宋_GB2312"/>
          <w:b w:val="0"/>
          <w:bCs w:val="0"/>
          <w:spacing w:val="0"/>
          <w:kern w:val="0"/>
          <w:sz w:val="32"/>
          <w:szCs w:val="32"/>
        </w:rPr>
        <w:t>〕</w:t>
      </w:r>
      <w:r>
        <w:rPr>
          <w:rFonts w:hint="eastAsia" w:ascii="仿宋_GB2312" w:hAnsi="仿宋_GB2312" w:eastAsia="仿宋_GB2312" w:cs="仿宋_GB2312"/>
          <w:b w:val="0"/>
          <w:bCs w:val="0"/>
          <w:spacing w:val="0"/>
          <w:kern w:val="0"/>
          <w:sz w:val="32"/>
          <w:szCs w:val="32"/>
          <w:lang w:val="en-US" w:eastAsia="zh-CN"/>
        </w:rPr>
        <w:t>61</w:t>
      </w:r>
      <w:r>
        <w:rPr>
          <w:rFonts w:hint="eastAsia" w:ascii="仿宋_GB2312" w:hAnsi="仿宋_GB2312" w:eastAsia="仿宋_GB2312" w:cs="仿宋_GB2312"/>
          <w:b w:val="0"/>
          <w:bCs w:val="0"/>
          <w:spacing w:val="0"/>
          <w:kern w:val="0"/>
          <w:sz w:val="32"/>
          <w:szCs w:val="32"/>
        </w:rPr>
        <w:t>号）要求，</w:t>
      </w:r>
      <w:r>
        <w:rPr>
          <w:rFonts w:hint="eastAsia" w:ascii="仿宋_GB2312" w:hAnsi="仿宋_GB2312" w:eastAsia="仿宋_GB2312" w:cs="仿宋_GB2312"/>
          <w:b w:val="0"/>
          <w:bCs w:val="0"/>
          <w:spacing w:val="0"/>
          <w:sz w:val="32"/>
          <w:szCs w:val="32"/>
        </w:rPr>
        <w:t>现将</w:t>
      </w:r>
      <w:r>
        <w:rPr>
          <w:rFonts w:hint="eastAsia" w:ascii="仿宋_GB2312" w:hAnsi="仿宋_GB2312" w:eastAsia="仿宋_GB2312" w:cs="仿宋_GB2312"/>
          <w:b w:val="0"/>
          <w:bCs w:val="0"/>
          <w:spacing w:val="0"/>
          <w:sz w:val="32"/>
          <w:szCs w:val="32"/>
          <w:lang w:eastAsia="zh-CN"/>
        </w:rPr>
        <w:t>我办</w:t>
      </w:r>
      <w:r>
        <w:rPr>
          <w:rFonts w:hint="eastAsia" w:ascii="仿宋_GB2312" w:hAnsi="仿宋_GB2312" w:eastAsia="仿宋_GB2312" w:cs="仿宋_GB2312"/>
          <w:b w:val="0"/>
          <w:bCs w:val="0"/>
          <w:spacing w:val="0"/>
          <w:kern w:val="2"/>
          <w:sz w:val="32"/>
          <w:szCs w:val="32"/>
          <w:lang w:eastAsia="zh-CN"/>
        </w:rPr>
        <w:t>《</w:t>
      </w:r>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kern w:val="2"/>
          <w:sz w:val="32"/>
          <w:szCs w:val="32"/>
          <w:lang w:val="en-US" w:eastAsia="zh-CN"/>
        </w:rPr>
        <w:t>018年</w:t>
      </w:r>
      <w:r>
        <w:rPr>
          <w:rFonts w:hint="eastAsia" w:ascii="仿宋_GB2312" w:hAnsi="仿宋_GB2312" w:eastAsia="仿宋_GB2312" w:cs="仿宋_GB2312"/>
          <w:b w:val="0"/>
          <w:bCs w:val="0"/>
          <w:spacing w:val="0"/>
          <w:kern w:val="2"/>
          <w:sz w:val="32"/>
          <w:szCs w:val="32"/>
          <w:lang w:val="en-US" w:eastAsia="zh-CN" w:bidi="ar-SA"/>
        </w:rPr>
        <w:t>政务公开工作实施方案</w:t>
      </w:r>
      <w:r>
        <w:rPr>
          <w:rFonts w:hint="eastAsia" w:ascii="仿宋_GB2312" w:hAnsi="仿宋_GB2312" w:eastAsia="仿宋_GB2312" w:cs="仿宋_GB2312"/>
          <w:b w:val="0"/>
          <w:bCs w:val="0"/>
          <w:spacing w:val="0"/>
          <w:kern w:val="2"/>
          <w:sz w:val="32"/>
          <w:szCs w:val="32"/>
          <w:lang w:eastAsia="zh-CN"/>
        </w:rPr>
        <w:t>》</w:t>
      </w:r>
      <w:r>
        <w:rPr>
          <w:rFonts w:hint="eastAsia" w:ascii="仿宋_GB2312" w:hAnsi="仿宋_GB2312" w:eastAsia="仿宋_GB2312" w:cs="仿宋_GB2312"/>
          <w:b w:val="0"/>
          <w:bCs w:val="0"/>
          <w:spacing w:val="0"/>
          <w:sz w:val="32"/>
          <w:szCs w:val="32"/>
          <w:lang w:eastAsia="zh-CN"/>
        </w:rPr>
        <w:t>随文报上</w:t>
      </w:r>
      <w:r>
        <w:rPr>
          <w:rFonts w:hint="eastAsia" w:ascii="仿宋_GB2312" w:hAnsi="仿宋_GB2312" w:eastAsia="仿宋_GB2312" w:cs="仿宋_GB2312"/>
          <w:b w:val="0"/>
          <w:bCs w:val="0"/>
          <w:spacing w:val="0"/>
          <w:sz w:val="32"/>
          <w:szCs w:val="32"/>
        </w:rPr>
        <w:t>，请</w:t>
      </w:r>
      <w:r>
        <w:rPr>
          <w:rFonts w:hint="eastAsia" w:ascii="仿宋_GB2312" w:hAnsi="仿宋_GB2312" w:eastAsia="仿宋_GB2312" w:cs="仿宋_GB2312"/>
          <w:b w:val="0"/>
          <w:bCs w:val="0"/>
          <w:spacing w:val="0"/>
          <w:sz w:val="32"/>
          <w:szCs w:val="32"/>
          <w:lang w:eastAsia="zh-CN"/>
        </w:rPr>
        <w:t>审核</w:t>
      </w:r>
      <w:r>
        <w:rPr>
          <w:rFonts w:hint="eastAsia" w:ascii="仿宋_GB2312" w:hAnsi="仿宋_GB2312" w:eastAsia="仿宋_GB2312" w:cs="仿宋_GB2312"/>
          <w:b w:val="0"/>
          <w:bCs w:val="0"/>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方正小标宋简体" w:eastAsia="仿宋_GB2312" w:cs="方正小标宋简体"/>
          <w:spacing w:val="0"/>
          <w:sz w:val="32"/>
          <w:szCs w:val="32"/>
        </w:rPr>
      </w:pPr>
      <w:r>
        <w:rPr>
          <w:rFonts w:hint="eastAsia" w:ascii="仿宋_GB2312" w:hAnsi="方正小标宋简体" w:eastAsia="仿宋_GB2312" w:cs="方正小标宋简体"/>
          <w:spacing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方正小标宋简体" w:eastAsia="仿宋_GB2312" w:cs="方正小标宋简体"/>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方正小标宋简体" w:eastAsia="仿宋_GB2312" w:cs="方正小标宋简体"/>
          <w:spacing w:val="0"/>
          <w:sz w:val="32"/>
          <w:szCs w:val="32"/>
        </w:rPr>
      </w:pPr>
      <w:r>
        <w:rPr>
          <w:rFonts w:hint="eastAsia" w:ascii="仿宋_GB2312" w:hAnsi="方正小标宋简体" w:eastAsia="仿宋_GB2312" w:cs="方正小标宋简体"/>
          <w:spacing w:val="0"/>
          <w:sz w:val="32"/>
          <w:szCs w:val="32"/>
        </w:rPr>
        <w:t xml:space="preserve">                        </w:t>
      </w:r>
      <w:r>
        <w:rPr>
          <w:rFonts w:hint="eastAsia" w:ascii="仿宋_GB2312" w:hAnsi="方正小标宋简体" w:eastAsia="仿宋_GB2312" w:cs="方正小标宋简体"/>
          <w:spacing w:val="0"/>
          <w:sz w:val="32"/>
          <w:szCs w:val="32"/>
          <w:lang w:val="en-US" w:eastAsia="zh-CN"/>
        </w:rPr>
        <w:t xml:space="preserve">     </w:t>
      </w:r>
      <w:r>
        <w:rPr>
          <w:rFonts w:hint="eastAsia" w:ascii="仿宋_GB2312" w:hAnsi="方正小标宋简体" w:eastAsia="仿宋_GB2312" w:cs="方正小标宋简体"/>
          <w:spacing w:val="0"/>
          <w:sz w:val="32"/>
          <w:szCs w:val="32"/>
        </w:rPr>
        <w:t>宁夏贺兰山东麓葡萄产业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ascii="仿宋_GB2312" w:hAnsi="方正小标宋简体" w:eastAsia="仿宋_GB2312" w:cs="方正小标宋简体"/>
          <w:spacing w:val="0"/>
          <w:sz w:val="32"/>
          <w:szCs w:val="32"/>
        </w:rPr>
      </w:pPr>
      <w:r>
        <w:rPr>
          <w:rFonts w:hint="eastAsia" w:ascii="仿宋_GB2312" w:hAnsi="方正小标宋简体" w:eastAsia="仿宋_GB2312" w:cs="方正小标宋简体"/>
          <w:spacing w:val="0"/>
          <w:sz w:val="32"/>
          <w:szCs w:val="32"/>
          <w:lang w:val="en-US" w:eastAsia="zh-CN"/>
        </w:rPr>
        <w:t xml:space="preserve">                                </w:t>
      </w:r>
      <w:r>
        <w:rPr>
          <w:rFonts w:hint="eastAsia" w:ascii="仿宋_GB2312" w:hAnsi="方正小标宋简体" w:eastAsia="仿宋_GB2312" w:cs="方正小标宋简体"/>
          <w:spacing w:val="0"/>
          <w:sz w:val="32"/>
          <w:szCs w:val="32"/>
        </w:rPr>
        <w:t>园区管委会办公室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pPr>
      <w:r>
        <w:rPr>
          <w:rFonts w:eastAsia="仿宋_GB2312"/>
          <w:spacing w:val="0"/>
          <w:sz w:val="32"/>
          <w:szCs w:val="32"/>
        </w:rPr>
        <w:t xml:space="preserve">                           </w:t>
      </w:r>
      <w:r>
        <w:rPr>
          <w:rFonts w:hint="eastAsia" w:eastAsia="仿宋_GB2312"/>
          <w:spacing w:val="0"/>
          <w:sz w:val="32"/>
          <w:szCs w:val="32"/>
        </w:rPr>
        <w:t xml:space="preserve">   </w:t>
      </w:r>
      <w:r>
        <w:rPr>
          <w:rFonts w:hint="eastAsia" w:eastAsia="仿宋_GB2312"/>
          <w:spacing w:val="0"/>
          <w:sz w:val="32"/>
          <w:szCs w:val="32"/>
          <w:lang w:val="en-US" w:eastAsia="zh-CN"/>
        </w:rPr>
        <w:t xml:space="preserve">  </w:t>
      </w:r>
      <w:r>
        <w:rPr>
          <w:rFonts w:hint="eastAsia" w:ascii="仿宋_GB2312" w:eastAsia="仿宋_GB2312"/>
          <w:spacing w:val="0"/>
          <w:sz w:val="32"/>
          <w:szCs w:val="32"/>
        </w:rPr>
        <w:t>2017年</w:t>
      </w:r>
      <w:r>
        <w:rPr>
          <w:rFonts w:hint="eastAsia" w:ascii="仿宋_GB2312" w:eastAsia="仿宋_GB2312"/>
          <w:spacing w:val="0"/>
          <w:sz w:val="32"/>
          <w:szCs w:val="32"/>
          <w:lang w:val="en-US" w:eastAsia="zh-CN"/>
        </w:rPr>
        <w:t>6</w:t>
      </w:r>
      <w:r>
        <w:rPr>
          <w:rFonts w:hint="eastAsia" w:ascii="仿宋_GB2312" w:eastAsia="仿宋_GB2312"/>
          <w:spacing w:val="0"/>
          <w:sz w:val="32"/>
          <w:szCs w:val="32"/>
        </w:rPr>
        <w:t>月</w:t>
      </w:r>
      <w:r>
        <w:rPr>
          <w:rFonts w:hint="eastAsia" w:ascii="仿宋_GB2312" w:eastAsia="仿宋_GB2312"/>
          <w:spacing w:val="0"/>
          <w:sz w:val="32"/>
          <w:szCs w:val="32"/>
          <w:lang w:val="en-US" w:eastAsia="zh-CN"/>
        </w:rPr>
        <w:t>15</w:t>
      </w:r>
      <w:r>
        <w:rPr>
          <w:rFonts w:hint="eastAsia" w:ascii="仿宋_GB2312" w:eastAsia="仿宋_GB2312"/>
          <w:spacing w:val="0"/>
          <w:sz w:val="32"/>
          <w:szCs w:val="32"/>
        </w:rPr>
        <w:t>日</w:t>
      </w:r>
      <w:r>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t>葡萄产业</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pPr>
      <w:r>
        <w:rPr>
          <w:rFonts w:hint="eastAsia" w:ascii="仿宋_GB2312" w:eastAsia="仿宋_GB2312"/>
          <w:spacing w:val="0"/>
          <w:sz w:val="32"/>
          <w:szCs w:val="32"/>
          <w:lang w:eastAsia="zh-CN"/>
        </w:rPr>
        <w:t>（此件公开发布</w:t>
      </w:r>
      <w:r>
        <w:rPr>
          <w:rFonts w:hint="eastAsia" w:ascii="仿宋_GB2312" w:eastAsia="仿宋_GB2312"/>
          <w:spacing w:val="0"/>
          <w:sz w:val="32"/>
          <w:szCs w:val="32"/>
          <w:lang w:val="en-US" w:eastAsia="zh-CN"/>
        </w:rPr>
        <w:t xml:space="preserve"> </w:t>
      </w:r>
      <w:r>
        <w:rPr>
          <w:rFonts w:hint="eastAsia" w:ascii="仿宋_GB2312" w:eastAsia="仿宋_GB2312"/>
          <w:spacing w:val="0"/>
          <w:sz w:val="32"/>
          <w:szCs w:val="32"/>
          <w:lang w:eastAsia="zh-CN"/>
        </w:rPr>
        <w:t>联系人：殷雪鹏</w:t>
      </w:r>
      <w:r>
        <w:rPr>
          <w:rFonts w:hint="eastAsia" w:ascii="仿宋_GB2312" w:eastAsia="仿宋_GB2312"/>
          <w:spacing w:val="0"/>
          <w:sz w:val="32"/>
          <w:szCs w:val="32"/>
          <w:lang w:val="en-US" w:eastAsia="zh-CN"/>
        </w:rPr>
        <w:t xml:space="preserve"> 18295399988</w:t>
      </w:r>
      <w:r>
        <w:rPr>
          <w:rFonts w:hint="eastAsia" w:ascii="仿宋_GB2312" w:eastAsia="仿宋_GB2312"/>
          <w:spacing w:val="0"/>
          <w:sz w:val="32"/>
          <w:szCs w:val="32"/>
          <w:lang w:eastAsia="zh-CN"/>
        </w:rPr>
        <w:t>）</w:t>
      </w:r>
      <w:r>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t>会办公室</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both"/>
        <w:textAlignment w:val="auto"/>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pP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both"/>
        <w:textAlignment w:val="auto"/>
        <w:rPr>
          <w:rFonts w:hint="eastAsia" w:ascii="仿宋_GB2312" w:hAnsi="方正小标宋简体" w:eastAsia="仿宋_GB2312" w:cs="方正小标宋简体"/>
          <w:color w:val="FFFFFF" w:themeColor="background1"/>
          <w:spacing w:val="0"/>
          <w:sz w:val="32"/>
          <w:szCs w:val="32"/>
          <w14:textFill>
            <w14:solidFill>
              <w14:schemeClr w14:val="bg1"/>
            </w14:solidFill>
          </w14:textFill>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ascii="方正小标宋简体" w:hAnsi="方正小标宋简体" w:eastAsia="方正小标宋简体" w:cs="方正小标宋简体"/>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spacing w:val="0"/>
        </w:rPr>
      </w:pPr>
      <w:bookmarkStart w:id="0" w:name="_GoBack"/>
      <w:bookmarkEnd w:id="0"/>
      <w:r>
        <w:rPr>
          <w:rFonts w:hint="eastAsia" w:ascii="方正小标宋简体" w:hAnsi="方正小标宋简体" w:eastAsia="方正小标宋简体" w:cs="方正小标宋简体"/>
          <w:spacing w:val="0"/>
          <w:sz w:val="44"/>
          <w:szCs w:val="44"/>
        </w:rPr>
        <w:t>宁夏贺兰山东麓葡萄产业园区</w:t>
      </w:r>
      <w:r>
        <w:rPr>
          <w:rFonts w:hint="eastAsia" w:ascii="方正小标宋简体" w:hAnsi="方正小标宋简体" w:eastAsia="方正小标宋简体" w:cs="方正小标宋简体"/>
          <w:b w:val="0"/>
          <w:bCs w:val="0"/>
          <w:spacing w:val="0"/>
          <w:sz w:val="44"/>
          <w:szCs w:val="44"/>
        </w:rPr>
        <w:t>管委会办公室</w:t>
      </w:r>
      <w:r>
        <w:rPr>
          <w:rFonts w:ascii="方正小标宋简体" w:hAnsi="方正小标宋简体" w:eastAsia="方正小标宋简体" w:cs="方正小标宋简体"/>
          <w:b w:val="0"/>
          <w:bCs w:val="0"/>
          <w:spacing w:val="0"/>
          <w:sz w:val="44"/>
          <w:szCs w:val="44"/>
        </w:rPr>
        <w:t>2</w:t>
      </w:r>
      <w:r>
        <w:rPr>
          <w:rFonts w:hint="eastAsia" w:ascii="方正小标宋简体" w:hAnsi="方正小标宋简体" w:eastAsia="方正小标宋简体" w:cs="方正小标宋简体"/>
          <w:b w:val="0"/>
          <w:bCs w:val="0"/>
          <w:spacing w:val="0"/>
          <w:kern w:val="2"/>
          <w:sz w:val="44"/>
          <w:szCs w:val="44"/>
          <w:lang w:val="en-US" w:eastAsia="zh-CN"/>
        </w:rPr>
        <w:t>018年</w:t>
      </w:r>
      <w:r>
        <w:rPr>
          <w:rFonts w:hint="eastAsia" w:ascii="方正小标宋简体" w:hAnsi="方正小标宋简体" w:eastAsia="方正小标宋简体" w:cs="方正小标宋简体"/>
          <w:b w:val="0"/>
          <w:bCs w:val="0"/>
          <w:spacing w:val="0"/>
          <w:kern w:val="2"/>
          <w:sz w:val="44"/>
          <w:szCs w:val="44"/>
          <w:lang w:val="en-US" w:eastAsia="zh-CN" w:bidi="ar-SA"/>
        </w:rPr>
        <w:t>政务公开工作实施方案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pacing w:val="0"/>
        </w:rPr>
      </w:pPr>
      <w:r>
        <w:rPr>
          <w:rFonts w:hint="eastAsia" w:ascii="仿宋_GB2312" w:hAnsi="仿宋_GB2312" w:eastAsia="仿宋_GB2312" w:cs="仿宋_GB2312"/>
          <w:spacing w:val="0"/>
          <w:kern w:val="0"/>
          <w:sz w:val="32"/>
          <w:szCs w:val="32"/>
        </w:rPr>
        <w:t>为深入贯彻落实《自治区人民政府办公厅关于印发</w:t>
      </w:r>
      <w:r>
        <w:rPr>
          <w:rFonts w:hint="eastAsia" w:ascii="仿宋_GB2312" w:hAnsi="仿宋_GB2312" w:eastAsia="仿宋_GB2312" w:cs="仿宋_GB2312"/>
          <w:spacing w:val="0"/>
          <w:kern w:val="0"/>
          <w:sz w:val="32"/>
          <w:szCs w:val="32"/>
          <w:lang w:val="en-US" w:eastAsia="zh-CN"/>
        </w:rPr>
        <w:t>2018年</w:t>
      </w:r>
      <w:r>
        <w:rPr>
          <w:rFonts w:hint="eastAsia" w:ascii="仿宋_GB2312" w:hAnsi="仿宋_GB2312" w:eastAsia="仿宋_GB2312" w:cs="仿宋_GB2312"/>
          <w:spacing w:val="0"/>
          <w:kern w:val="0"/>
          <w:sz w:val="32"/>
          <w:szCs w:val="32"/>
        </w:rPr>
        <w:t>政务公开工作</w:t>
      </w:r>
      <w:r>
        <w:rPr>
          <w:rFonts w:hint="eastAsia" w:ascii="仿宋_GB2312" w:hAnsi="仿宋_GB2312" w:eastAsia="仿宋_GB2312" w:cs="仿宋_GB2312"/>
          <w:spacing w:val="0"/>
          <w:kern w:val="0"/>
          <w:sz w:val="32"/>
          <w:szCs w:val="32"/>
          <w:lang w:eastAsia="zh-CN"/>
        </w:rPr>
        <w:t>要点</w:t>
      </w:r>
      <w:r>
        <w:rPr>
          <w:rFonts w:hint="eastAsia" w:ascii="仿宋_GB2312" w:hAnsi="仿宋_GB2312" w:eastAsia="仿宋_GB2312" w:cs="仿宋_GB2312"/>
          <w:spacing w:val="0"/>
          <w:kern w:val="0"/>
          <w:sz w:val="32"/>
          <w:szCs w:val="32"/>
        </w:rPr>
        <w:t>的通知》（宁政办发〔201</w:t>
      </w:r>
      <w:r>
        <w:rPr>
          <w:rFonts w:hint="eastAsia" w:ascii="仿宋_GB2312" w:hAnsi="仿宋_GB2312" w:eastAsia="仿宋_GB2312" w:cs="仿宋_GB2312"/>
          <w:spacing w:val="0"/>
          <w:kern w:val="0"/>
          <w:sz w:val="32"/>
          <w:szCs w:val="32"/>
          <w:lang w:val="en-US" w:eastAsia="zh-CN"/>
        </w:rPr>
        <w:t>8</w:t>
      </w:r>
      <w:r>
        <w:rPr>
          <w:rFonts w:hint="eastAsia" w:ascii="仿宋_GB2312" w:hAnsi="仿宋_GB2312" w:eastAsia="仿宋_GB2312" w:cs="仿宋_GB2312"/>
          <w:spacing w:val="0"/>
          <w:kern w:val="0"/>
          <w:sz w:val="32"/>
          <w:szCs w:val="32"/>
        </w:rPr>
        <w:t>〕</w:t>
      </w:r>
      <w:r>
        <w:rPr>
          <w:rFonts w:hint="eastAsia" w:ascii="仿宋_GB2312" w:hAnsi="仿宋_GB2312" w:eastAsia="仿宋_GB2312" w:cs="仿宋_GB2312"/>
          <w:spacing w:val="0"/>
          <w:kern w:val="0"/>
          <w:sz w:val="32"/>
          <w:szCs w:val="32"/>
          <w:lang w:val="en-US" w:eastAsia="zh-CN"/>
        </w:rPr>
        <w:t>61</w:t>
      </w:r>
      <w:r>
        <w:rPr>
          <w:rFonts w:hint="eastAsia" w:ascii="仿宋_GB2312" w:hAnsi="仿宋_GB2312" w:eastAsia="仿宋_GB2312" w:cs="仿宋_GB2312"/>
          <w:spacing w:val="0"/>
          <w:kern w:val="0"/>
          <w:sz w:val="32"/>
          <w:szCs w:val="32"/>
        </w:rPr>
        <w:t>号）要求，全面推进决策、执行、管理、服务、结果公开（以下统称“五公开”）</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不断提升公开质量和实效，</w:t>
      </w:r>
      <w:r>
        <w:rPr>
          <w:rFonts w:hint="eastAsia" w:ascii="仿宋_GB2312" w:hAnsi="仿宋_GB2312" w:eastAsia="仿宋_GB2312" w:cs="仿宋_GB2312"/>
          <w:spacing w:val="0"/>
          <w:sz w:val="32"/>
          <w:szCs w:val="32"/>
        </w:rPr>
        <w:t>推动转变政府职能、深化简政放权、创新监</w:t>
      </w:r>
      <w:r>
        <w:rPr>
          <w:rFonts w:hint="eastAsia" w:ascii="仿宋_GB2312" w:hAnsi="仿宋_GB2312" w:eastAsia="仿宋_GB2312" w:cs="仿宋_GB2312"/>
          <w:spacing w:val="0"/>
          <w:sz w:val="32"/>
          <w:szCs w:val="32"/>
          <w:lang w:eastAsia="zh-CN"/>
        </w:rPr>
        <w:t>管</w:t>
      </w:r>
      <w:r>
        <w:rPr>
          <w:rFonts w:hint="eastAsia" w:ascii="仿宋_GB2312" w:hAnsi="仿宋_GB2312" w:eastAsia="仿宋_GB2312" w:cs="仿宋_GB2312"/>
          <w:spacing w:val="0"/>
          <w:sz w:val="32"/>
          <w:szCs w:val="32"/>
        </w:rPr>
        <w:t>方式</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为实现自治区第十二次党代会</w:t>
      </w:r>
      <w:r>
        <w:rPr>
          <w:rFonts w:hint="eastAsia" w:ascii="仿宋_GB2312" w:hAnsi="仿宋_GB2312" w:eastAsia="仿宋_GB2312" w:cs="仿宋_GB2312"/>
          <w:spacing w:val="0"/>
          <w:sz w:val="32"/>
          <w:szCs w:val="32"/>
          <w:lang w:eastAsia="zh-CN"/>
        </w:rPr>
        <w:t>确</w:t>
      </w:r>
      <w:r>
        <w:rPr>
          <w:rFonts w:hint="eastAsia" w:ascii="仿宋_GB2312" w:hAnsi="仿宋_GB2312" w:eastAsia="仿宋_GB2312" w:cs="仿宋_GB2312"/>
          <w:spacing w:val="0"/>
          <w:sz w:val="32"/>
          <w:szCs w:val="32"/>
        </w:rPr>
        <w:t>立的战略</w:t>
      </w:r>
      <w:r>
        <w:rPr>
          <w:rFonts w:hint="eastAsia" w:ascii="仿宋_GB2312" w:hAnsi="仿宋_GB2312" w:eastAsia="仿宋_GB2312" w:cs="仿宋_GB2312"/>
          <w:spacing w:val="0"/>
          <w:sz w:val="32"/>
          <w:szCs w:val="32"/>
          <w:lang w:eastAsia="zh-CN"/>
        </w:rPr>
        <w:t>目标营造</w:t>
      </w:r>
      <w:r>
        <w:rPr>
          <w:rFonts w:hint="eastAsia" w:ascii="仿宋_GB2312" w:hAnsi="仿宋_GB2312" w:eastAsia="仿宋_GB2312" w:cs="仿宋_GB2312"/>
          <w:spacing w:val="0"/>
          <w:sz w:val="32"/>
          <w:szCs w:val="32"/>
        </w:rPr>
        <w:t>良好政务环境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以优身成绩理接自治区成立60周年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rPr>
        <w:t>结合实际，制定本实施方案。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spacing w:val="0"/>
          <w:sz w:val="32"/>
          <w:szCs w:val="32"/>
        </w:rPr>
      </w:pPr>
      <w:r>
        <w:rPr>
          <w:rFonts w:hint="eastAsia" w:ascii="黑体" w:hAnsi="宋体" w:eastAsia="黑体" w:cs="黑体"/>
          <w:b w:val="0"/>
          <w:i w:val="0"/>
          <w:caps w:val="0"/>
          <w:color w:val="000000"/>
          <w:spacing w:val="0"/>
          <w:sz w:val="32"/>
          <w:szCs w:val="32"/>
          <w:shd w:val="clear" w:fill="FFFFFF"/>
          <w:lang w:eastAsia="zh-CN"/>
        </w:rPr>
        <w:t>一、</w:t>
      </w:r>
      <w:r>
        <w:rPr>
          <w:rFonts w:ascii="黑体" w:hAnsi="宋体" w:eastAsia="黑体" w:cs="黑体"/>
          <w:b w:val="0"/>
          <w:i w:val="0"/>
          <w:caps w:val="0"/>
          <w:color w:val="000000"/>
          <w:spacing w:val="0"/>
          <w:sz w:val="32"/>
          <w:szCs w:val="32"/>
          <w:shd w:val="clear" w:fill="FFFFFF"/>
        </w:rPr>
        <w:t>落实规定动作，</w:t>
      </w:r>
      <w:r>
        <w:rPr>
          <w:rFonts w:hint="eastAsia" w:ascii="黑体" w:hAnsi="黑体" w:eastAsia="黑体" w:cs="黑体"/>
          <w:b w:val="0"/>
          <w:bCs w:val="0"/>
          <w:spacing w:val="0"/>
          <w:sz w:val="32"/>
          <w:szCs w:val="32"/>
        </w:rPr>
        <w:t>深入推进“五公开”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eastAsia="zh-CN"/>
        </w:rPr>
        <w:t>（一）</w:t>
      </w:r>
      <w:r>
        <w:rPr>
          <w:rFonts w:hint="eastAsia" w:ascii="楷体_GB2312" w:hAnsi="楷体_GB2312" w:eastAsia="楷体_GB2312" w:cs="楷体_GB2312"/>
          <w:b/>
          <w:bCs/>
          <w:spacing w:val="0"/>
          <w:sz w:val="32"/>
          <w:szCs w:val="32"/>
        </w:rPr>
        <w:t>加强行政决策公开。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认真</w:t>
      </w:r>
      <w:r>
        <w:rPr>
          <w:rFonts w:hint="eastAsia" w:ascii="仿宋_GB2312" w:hAnsi="仿宋_GB2312" w:eastAsia="仿宋_GB2312" w:cs="仿宋_GB2312"/>
          <w:spacing w:val="0"/>
          <w:sz w:val="32"/>
          <w:szCs w:val="32"/>
          <w:lang w:eastAsia="zh-CN"/>
        </w:rPr>
        <w:t>贯彻</w:t>
      </w:r>
      <w:r>
        <w:rPr>
          <w:rFonts w:hint="eastAsia" w:ascii="仿宋_GB2312" w:hAnsi="仿宋_GB2312" w:eastAsia="仿宋_GB2312" w:cs="仿宋_GB2312"/>
          <w:spacing w:val="0"/>
          <w:sz w:val="32"/>
          <w:szCs w:val="32"/>
        </w:rPr>
        <w:t>执行《自治区人民政府关干印发</w:t>
      </w:r>
      <w:r>
        <w:rPr>
          <w:rFonts w:hint="eastAsia" w:ascii="仿宋_GB2312" w:hAnsi="仿宋_GB2312" w:eastAsia="仿宋_GB2312" w:cs="仿宋_GB2312"/>
          <w:spacing w:val="0"/>
          <w:sz w:val="32"/>
          <w:szCs w:val="32"/>
          <w:lang w:val="en-US" w:eastAsia="zh-CN"/>
        </w:rPr>
        <w:t>&lt;宁夏</w:t>
      </w:r>
      <w:r>
        <w:rPr>
          <w:rFonts w:hint="eastAsia" w:ascii="仿宋_GB2312" w:hAnsi="仿宋_GB2312" w:eastAsia="仿宋_GB2312" w:cs="仿宋_GB2312"/>
          <w:spacing w:val="0"/>
          <w:sz w:val="32"/>
          <w:szCs w:val="32"/>
        </w:rPr>
        <w:t>回族自治区人民政府工作规则</w:t>
      </w:r>
      <w:r>
        <w:rPr>
          <w:rFonts w:hint="eastAsia" w:ascii="仿宋_GB2312" w:hAnsi="仿宋_GB2312" w:eastAsia="仿宋_GB2312" w:cs="仿宋_GB2312"/>
          <w:spacing w:val="0"/>
          <w:sz w:val="32"/>
          <w:szCs w:val="32"/>
          <w:lang w:val="en-US" w:eastAsia="zh-CN"/>
        </w:rPr>
        <w:t>&gt;</w:t>
      </w:r>
      <w:r>
        <w:rPr>
          <w:rFonts w:hint="eastAsia" w:ascii="仿宋_GB2312" w:hAnsi="仿宋_GB2312" w:eastAsia="仿宋_GB2312" w:cs="仿宋_GB2312"/>
          <w:spacing w:val="0"/>
          <w:sz w:val="32"/>
          <w:szCs w:val="32"/>
        </w:rPr>
        <w:t>的通知》(宁政发(2018) 1号)规定，</w:t>
      </w:r>
      <w:r>
        <w:rPr>
          <w:rFonts w:hint="eastAsia" w:ascii="仿宋_GB2312" w:hAnsi="仿宋_GB2312" w:eastAsia="仿宋_GB2312" w:cs="仿宋_GB2312"/>
          <w:spacing w:val="0"/>
          <w:sz w:val="32"/>
          <w:szCs w:val="32"/>
          <w:lang w:eastAsia="zh-CN"/>
        </w:rPr>
        <w:t>凡</w:t>
      </w:r>
      <w:r>
        <w:rPr>
          <w:rFonts w:hint="eastAsia" w:ascii="仿宋_GB2312" w:hAnsi="仿宋_GB2312" w:eastAsia="仿宋_GB2312" w:cs="仿宋_GB2312"/>
          <w:spacing w:val="0"/>
          <w:sz w:val="32"/>
          <w:szCs w:val="32"/>
        </w:rPr>
        <w:t>政府</w:t>
      </w:r>
      <w:r>
        <w:rPr>
          <w:rFonts w:hint="eastAsia" w:ascii="仿宋_GB2312" w:hAnsi="仿宋_GB2312" w:eastAsia="仿宋_GB2312" w:cs="仿宋_GB2312"/>
          <w:spacing w:val="0"/>
          <w:sz w:val="32"/>
          <w:szCs w:val="32"/>
          <w:lang w:eastAsia="zh-CN"/>
        </w:rPr>
        <w:t>全体</w:t>
      </w:r>
      <w:r>
        <w:rPr>
          <w:rFonts w:hint="eastAsia" w:ascii="仿宋_GB2312" w:hAnsi="仿宋_GB2312" w:eastAsia="仿宋_GB2312" w:cs="仿宋_GB2312"/>
          <w:spacing w:val="0"/>
          <w:sz w:val="32"/>
          <w:szCs w:val="32"/>
        </w:rPr>
        <w:t>会议和常务会议</w:t>
      </w:r>
      <w:r>
        <w:rPr>
          <w:rFonts w:hint="eastAsia" w:ascii="仿宋_GB2312" w:hAnsi="仿宋_GB2312" w:eastAsia="仿宋_GB2312" w:cs="仿宋_GB2312"/>
          <w:spacing w:val="0"/>
          <w:sz w:val="32"/>
          <w:szCs w:val="32"/>
          <w:lang w:eastAsia="zh-CN"/>
        </w:rPr>
        <w:t>讨论</w:t>
      </w:r>
      <w:r>
        <w:rPr>
          <w:rFonts w:hint="eastAsia" w:ascii="仿宋_GB2312" w:hAnsi="仿宋_GB2312" w:eastAsia="仿宋_GB2312" w:cs="仿宋_GB2312"/>
          <w:spacing w:val="0"/>
          <w:sz w:val="32"/>
          <w:szCs w:val="32"/>
        </w:rPr>
        <w:t>决定的</w:t>
      </w:r>
      <w:r>
        <w:rPr>
          <w:rFonts w:hint="eastAsia" w:ascii="仿宋_GB2312" w:hAnsi="仿宋_GB2312" w:eastAsia="仿宋_GB2312" w:cs="仿宋_GB2312"/>
          <w:spacing w:val="0"/>
          <w:sz w:val="32"/>
          <w:szCs w:val="32"/>
          <w:lang w:eastAsia="zh-CN"/>
        </w:rPr>
        <w:t>葡萄产业</w:t>
      </w:r>
      <w:r>
        <w:rPr>
          <w:rFonts w:hint="eastAsia" w:ascii="仿宋_GB2312" w:hAnsi="仿宋_GB2312" w:eastAsia="仿宋_GB2312" w:cs="仿宋_GB2312"/>
          <w:spacing w:val="0"/>
          <w:sz w:val="32"/>
          <w:szCs w:val="32"/>
        </w:rPr>
        <w:t>事项、</w:t>
      </w:r>
      <w:r>
        <w:rPr>
          <w:rFonts w:hint="eastAsia" w:ascii="仿宋_GB2312" w:hAnsi="仿宋_GB2312" w:eastAsia="仿宋_GB2312" w:cs="仿宋_GB2312"/>
          <w:spacing w:val="0"/>
          <w:sz w:val="32"/>
          <w:szCs w:val="32"/>
          <w:lang w:eastAsia="zh-CN"/>
        </w:rPr>
        <w:t>管委会办公室</w:t>
      </w:r>
      <w:r>
        <w:rPr>
          <w:rFonts w:hint="eastAsia" w:ascii="仿宋_GB2312" w:hAnsi="仿宋_GB2312" w:eastAsia="仿宋_GB2312" w:cs="仿宋_GB2312"/>
          <w:spacing w:val="0"/>
          <w:sz w:val="32"/>
          <w:szCs w:val="32"/>
        </w:rPr>
        <w:t>制定的政策文件，除依法</w:t>
      </w:r>
      <w:r>
        <w:rPr>
          <w:rFonts w:hint="eastAsia" w:ascii="仿宋_GB2312" w:hAnsi="仿宋_GB2312" w:eastAsia="仿宋_GB2312" w:cs="仿宋_GB2312"/>
          <w:spacing w:val="0"/>
          <w:sz w:val="32"/>
          <w:szCs w:val="32"/>
          <w:lang w:eastAsia="zh-CN"/>
        </w:rPr>
        <w:t>需要保密的</w:t>
      </w:r>
      <w:r>
        <w:rPr>
          <w:rFonts w:hint="eastAsia" w:ascii="仿宋_GB2312" w:hAnsi="仿宋_GB2312" w:eastAsia="仿宋_GB2312" w:cs="仿宋_GB2312"/>
          <w:spacing w:val="0"/>
          <w:sz w:val="32"/>
          <w:szCs w:val="32"/>
        </w:rPr>
        <w:t>外，</w:t>
      </w:r>
      <w:r>
        <w:rPr>
          <w:rFonts w:hint="eastAsia" w:ascii="仿宋_GB2312" w:hAnsi="仿宋_GB2312" w:eastAsia="仿宋_GB2312" w:cs="仿宋_GB2312"/>
          <w:spacing w:val="0"/>
          <w:sz w:val="32"/>
          <w:szCs w:val="32"/>
          <w:lang w:eastAsia="zh-CN"/>
        </w:rPr>
        <w:t>都</w:t>
      </w:r>
      <w:r>
        <w:rPr>
          <w:rFonts w:hint="eastAsia" w:ascii="仿宋_GB2312" w:hAnsi="仿宋_GB2312" w:eastAsia="仿宋_GB2312" w:cs="仿宋_GB2312"/>
          <w:spacing w:val="0"/>
          <w:sz w:val="32"/>
          <w:szCs w:val="32"/>
        </w:rPr>
        <w:t>应通过</w:t>
      </w:r>
      <w:r>
        <w:rPr>
          <w:rFonts w:hint="eastAsia" w:ascii="仿宋_GB2312" w:hAnsi="仿宋_GB2312" w:eastAsia="仿宋_GB2312" w:cs="仿宋_GB2312"/>
          <w:spacing w:val="0"/>
          <w:sz w:val="32"/>
          <w:szCs w:val="32"/>
          <w:lang w:eastAsia="zh-CN"/>
        </w:rPr>
        <w:t>葡萄</w:t>
      </w:r>
      <w:r>
        <w:rPr>
          <w:rFonts w:hint="eastAsia" w:ascii="仿宋_GB2312" w:hAnsi="仿宋_GB2312" w:eastAsia="仿宋_GB2312" w:cs="仿宋_GB2312"/>
          <w:b w:val="0"/>
          <w:i w:val="0"/>
          <w:caps w:val="0"/>
          <w:color w:val="000000"/>
          <w:spacing w:val="0"/>
          <w:sz w:val="32"/>
          <w:szCs w:val="32"/>
          <w:shd w:val="clear" w:fill="FFFFFF"/>
        </w:rPr>
        <w:t>局官网、新闻媒体、</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两微一端</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spacing w:val="0"/>
          <w:sz w:val="32"/>
          <w:szCs w:val="32"/>
        </w:rPr>
        <w:t>等及时公开，以公开促进依法行政和政策落地见效，充分保障人民群众知情权、参</w:t>
      </w:r>
      <w:r>
        <w:rPr>
          <w:rFonts w:hint="eastAsia" w:ascii="仿宋_GB2312" w:hAnsi="仿宋_GB2312" w:eastAsia="仿宋_GB2312" w:cs="仿宋_GB2312"/>
          <w:spacing w:val="0"/>
          <w:sz w:val="32"/>
          <w:szCs w:val="32"/>
          <w:lang w:eastAsia="zh-CN"/>
        </w:rPr>
        <w:t>与</w:t>
      </w:r>
      <w:r>
        <w:rPr>
          <w:rFonts w:hint="eastAsia" w:ascii="仿宋_GB2312" w:hAnsi="仿宋_GB2312" w:eastAsia="仿宋_GB2312" w:cs="仿宋_GB2312"/>
          <w:spacing w:val="0"/>
          <w:sz w:val="32"/>
          <w:szCs w:val="32"/>
        </w:rPr>
        <w:t>权、表达权和监督权，提升政府公信力和执行力。</w:t>
      </w:r>
      <w:r>
        <w:rPr>
          <w:rFonts w:hint="eastAsia" w:ascii="楷体_GB2312" w:hAnsi="楷体_GB2312" w:eastAsia="楷体_GB2312" w:cs="楷体_GB2312"/>
          <w:b w:val="0"/>
          <w:bCs w:val="0"/>
          <w:i w:val="0"/>
          <w:caps w:val="0"/>
          <w:color w:val="000000"/>
          <w:spacing w:val="0"/>
          <w:sz w:val="32"/>
          <w:szCs w:val="32"/>
          <w:shd w:val="clear" w:fill="FFFFFF"/>
        </w:rPr>
        <w:t>（</w:t>
      </w:r>
      <w:r>
        <w:rPr>
          <w:rFonts w:hint="eastAsia" w:ascii="楷体_GB2312" w:hAnsi="楷体_GB2312" w:eastAsia="楷体_GB2312" w:cs="楷体_GB2312"/>
          <w:b w:val="0"/>
          <w:bCs w:val="0"/>
          <w:i w:val="0"/>
          <w:caps w:val="0"/>
          <w:color w:val="000000"/>
          <w:spacing w:val="0"/>
          <w:sz w:val="32"/>
          <w:szCs w:val="32"/>
          <w:shd w:val="clear" w:fill="FFFFFF"/>
          <w:lang w:eastAsia="zh-CN"/>
        </w:rPr>
        <w:t>综合处牵头、规划建设处、产业发展处、交易博览中心、联合会秘书处配合</w:t>
      </w:r>
      <w:r>
        <w:rPr>
          <w:rFonts w:hint="eastAsia" w:ascii="楷体_GB2312" w:hAnsi="楷体_GB2312" w:eastAsia="楷体_GB2312" w:cs="楷体_GB2312"/>
          <w:b w:val="0"/>
          <w:bCs w:val="0"/>
          <w:i w:val="0"/>
          <w:caps w:val="0"/>
          <w:color w:val="000000"/>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spacing w:val="0"/>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eastAsia="zh-CN"/>
        </w:rPr>
        <w:t>管委会办公室</w:t>
      </w:r>
      <w:r>
        <w:rPr>
          <w:rFonts w:hint="eastAsia" w:ascii="仿宋_GB2312" w:hAnsi="仿宋_GB2312" w:eastAsia="仿宋_GB2312" w:cs="仿宋_GB2312"/>
          <w:spacing w:val="0"/>
          <w:sz w:val="32"/>
          <w:szCs w:val="32"/>
        </w:rPr>
        <w:t>制定出台涉及公共利益、公众权益的政策文件，都要在文中设定适当的章节或条款，对相关信息公开的责任主体、公开内容方式与时限、解读回应等作出明确规定，使政策执行更加阳光透明。</w:t>
      </w:r>
      <w:r>
        <w:rPr>
          <w:rFonts w:hint="eastAsia" w:ascii="楷体_GB2312" w:hAnsi="楷体_GB2312" w:eastAsia="楷体_GB2312" w:cs="楷体_GB2312"/>
          <w:b w:val="0"/>
          <w:bCs w:val="0"/>
          <w:spacing w:val="0"/>
          <w:kern w:val="0"/>
          <w:sz w:val="32"/>
          <w:szCs w:val="32"/>
          <w:lang w:val="en-US" w:eastAsia="zh-CN" w:bidi="ar-SA"/>
        </w:rPr>
        <w:t>（各处、交易博览中心、联合会秘书处负责落实）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spacing w:val="0"/>
          <w:sz w:val="32"/>
          <w:szCs w:val="32"/>
        </w:rPr>
        <w:t>3.全面落实行政决策预公开制度，进一步完善行政决策预公开工作机制，对涉及</w:t>
      </w:r>
      <w:r>
        <w:rPr>
          <w:rFonts w:hint="eastAsia" w:ascii="仿宋_GB2312" w:hAnsi="仿宋_GB2312" w:eastAsia="仿宋_GB2312" w:cs="仿宋_GB2312"/>
          <w:spacing w:val="0"/>
          <w:sz w:val="32"/>
          <w:szCs w:val="32"/>
          <w:lang w:eastAsia="zh-CN"/>
        </w:rPr>
        <w:t>酒庄（企业）</w:t>
      </w:r>
      <w:r>
        <w:rPr>
          <w:rFonts w:hint="eastAsia" w:ascii="仿宋_GB2312" w:hAnsi="仿宋_GB2312" w:eastAsia="仿宋_GB2312" w:cs="仿宋_GB2312"/>
          <w:spacing w:val="0"/>
          <w:sz w:val="32"/>
          <w:szCs w:val="32"/>
        </w:rPr>
        <w:t>切身利益、需要社会广泛知晓的重要改革方案、重大政策措施、重点工程项目，除依法应当保密的外，在</w:t>
      </w:r>
      <w:r>
        <w:rPr>
          <w:rFonts w:hint="eastAsia" w:ascii="仿宋_GB2312" w:hAnsi="仿宋_GB2312" w:eastAsia="仿宋_GB2312" w:cs="仿宋_GB2312"/>
          <w:spacing w:val="0"/>
          <w:sz w:val="32"/>
          <w:szCs w:val="32"/>
          <w:lang w:eastAsia="zh-CN"/>
        </w:rPr>
        <w:t>决</w:t>
      </w:r>
      <w:r>
        <w:rPr>
          <w:rFonts w:hint="eastAsia" w:ascii="仿宋_GB2312" w:hAnsi="仿宋_GB2312" w:eastAsia="仿宋_GB2312" w:cs="仿宋_GB2312"/>
          <w:spacing w:val="0"/>
          <w:sz w:val="32"/>
          <w:szCs w:val="32"/>
        </w:rPr>
        <w:t>策前应向社会公布决策草案、决策依据，通过听证座谈、调查研究、咨询协商、媒体沟通、网络征集等多种方式，广泛听取公众意见，意见收集情况、</w:t>
      </w:r>
      <w:r>
        <w:rPr>
          <w:rFonts w:hint="eastAsia" w:ascii="仿宋_GB2312" w:hAnsi="仿宋_GB2312" w:eastAsia="仿宋_GB2312" w:cs="仿宋_GB2312"/>
          <w:spacing w:val="0"/>
          <w:sz w:val="32"/>
          <w:szCs w:val="32"/>
          <w:lang w:eastAsia="zh-CN"/>
        </w:rPr>
        <w:t>采</w:t>
      </w:r>
      <w:r>
        <w:rPr>
          <w:rFonts w:hint="eastAsia" w:ascii="仿宋_GB2312" w:hAnsi="仿宋_GB2312" w:eastAsia="仿宋_GB2312" w:cs="仿宋_GB2312"/>
          <w:spacing w:val="0"/>
          <w:sz w:val="32"/>
          <w:szCs w:val="32"/>
        </w:rPr>
        <w:t>纳情况、较为集中意见</w:t>
      </w:r>
      <w:r>
        <w:rPr>
          <w:rFonts w:hint="eastAsia" w:ascii="仿宋_GB2312" w:hAnsi="仿宋_GB2312" w:eastAsia="仿宋_GB2312" w:cs="仿宋_GB2312"/>
          <w:spacing w:val="0"/>
          <w:sz w:val="32"/>
          <w:szCs w:val="32"/>
          <w:lang w:eastAsia="zh-CN"/>
        </w:rPr>
        <w:t>未</w:t>
      </w:r>
      <w:r>
        <w:rPr>
          <w:rFonts w:hint="eastAsia" w:ascii="仿宋_GB2312" w:hAnsi="仿宋_GB2312" w:eastAsia="仿宋_GB2312" w:cs="仿宋_GB2312"/>
          <w:spacing w:val="0"/>
          <w:sz w:val="32"/>
          <w:szCs w:val="32"/>
        </w:rPr>
        <w:t>予采纳的原因要向社会公布。</w:t>
      </w:r>
      <w:r>
        <w:rPr>
          <w:rFonts w:hint="eastAsia" w:ascii="楷体_GB2312" w:hAnsi="楷体_GB2312" w:eastAsia="楷体_GB2312" w:cs="楷体_GB2312"/>
          <w:b w:val="0"/>
          <w:bCs w:val="0"/>
          <w:i w:val="0"/>
          <w:caps w:val="0"/>
          <w:color w:val="000000"/>
          <w:spacing w:val="0"/>
          <w:kern w:val="2"/>
          <w:sz w:val="32"/>
          <w:szCs w:val="32"/>
          <w:shd w:val="clear" w:fill="FFFFFF"/>
          <w:lang w:val="en-US" w:eastAsia="zh-CN" w:bidi="ar-SA"/>
        </w:rPr>
        <w:t>（各处、交易博览中心、联合会秘书处负责落实）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.有序推动会议开放，对涉及重大民生事项的会议议题，原则上要</w:t>
      </w:r>
      <w:r>
        <w:rPr>
          <w:rFonts w:hint="eastAsia" w:ascii="仿宋_GB2312" w:hAnsi="仿宋_GB2312" w:eastAsia="仿宋_GB2312" w:cs="仿宋_GB2312"/>
          <w:spacing w:val="0"/>
          <w:sz w:val="32"/>
          <w:szCs w:val="32"/>
          <w:lang w:eastAsia="zh-CN"/>
        </w:rPr>
        <w:t>邀请</w:t>
      </w:r>
      <w:r>
        <w:rPr>
          <w:rFonts w:hint="eastAsia" w:ascii="仿宋_GB2312" w:hAnsi="仿宋_GB2312" w:eastAsia="仿宋_GB2312" w:cs="仿宋_GB2312"/>
          <w:spacing w:val="0"/>
          <w:sz w:val="32"/>
          <w:szCs w:val="32"/>
        </w:rPr>
        <w:t>利益相关方、公众代表、专家、媒体等列席会议。</w:t>
      </w:r>
      <w:r>
        <w:rPr>
          <w:rFonts w:hint="eastAsia" w:ascii="仿宋_GB2312" w:hAnsi="仿宋_GB2312" w:eastAsia="仿宋_GB2312" w:cs="仿宋_GB2312"/>
          <w:b w:val="0"/>
          <w:bCs w:val="0"/>
          <w:spacing w:val="0"/>
          <w:kern w:val="0"/>
          <w:sz w:val="32"/>
          <w:szCs w:val="32"/>
          <w:lang w:val="en-US" w:eastAsia="zh-CN" w:bidi="ar-SA"/>
        </w:rPr>
        <w:t>各处、交易博览中心、联合会秘书处</w:t>
      </w:r>
      <w:r>
        <w:rPr>
          <w:rFonts w:hint="eastAsia" w:ascii="仿宋_GB2312" w:hAnsi="仿宋_GB2312" w:eastAsia="仿宋_GB2312" w:cs="仿宋_GB2312"/>
          <w:spacing w:val="0"/>
          <w:sz w:val="32"/>
          <w:szCs w:val="32"/>
        </w:rPr>
        <w:t>年内邀请相关人员列席此类会议不得少于1次。</w:t>
      </w:r>
      <w:r>
        <w:rPr>
          <w:rFonts w:hint="eastAsia" w:ascii="楷体_GB2312" w:hAnsi="楷体_GB2312" w:eastAsia="楷体_GB2312" w:cs="楷体_GB2312"/>
          <w:b w:val="0"/>
          <w:bCs w:val="0"/>
          <w:i w:val="0"/>
          <w:caps w:val="0"/>
          <w:color w:val="000000"/>
          <w:spacing w:val="0"/>
          <w:sz w:val="32"/>
          <w:szCs w:val="32"/>
          <w:shd w:val="clear" w:fill="FFFFFF"/>
          <w:lang w:eastAsia="zh-CN"/>
        </w:rPr>
        <w:t>（</w:t>
      </w:r>
      <w:r>
        <w:rPr>
          <w:rFonts w:hint="eastAsia" w:ascii="楷体_GB2312" w:hAnsi="楷体_GB2312" w:eastAsia="楷体_GB2312" w:cs="楷体_GB2312"/>
          <w:b w:val="0"/>
          <w:bCs w:val="0"/>
          <w:i w:val="0"/>
          <w:caps w:val="0"/>
          <w:color w:val="000000"/>
          <w:spacing w:val="0"/>
          <w:sz w:val="32"/>
          <w:szCs w:val="32"/>
          <w:shd w:val="clear" w:fill="FFFFFF"/>
          <w:lang w:val="en-US" w:eastAsia="zh-CN"/>
        </w:rPr>
        <w:t>各处、交易博览中心、联合会秘书处负责落实</w:t>
      </w:r>
      <w:r>
        <w:rPr>
          <w:rFonts w:hint="eastAsia" w:ascii="楷体_GB2312" w:hAnsi="楷体_GB2312" w:eastAsia="楷体_GB2312" w:cs="楷体_GB2312"/>
          <w:b w:val="0"/>
          <w:bCs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eastAsia="zh-CN"/>
        </w:rPr>
      </w:pPr>
      <w:r>
        <w:rPr>
          <w:rFonts w:hint="eastAsia" w:ascii="楷体_GB2312" w:hAnsi="楷体_GB2312" w:eastAsia="楷体_GB2312" w:cs="楷体_GB2312"/>
          <w:b/>
          <w:bCs/>
          <w:spacing w:val="0"/>
          <w:sz w:val="32"/>
          <w:szCs w:val="32"/>
          <w:lang w:eastAsia="zh-CN"/>
        </w:rPr>
        <w:t>（二）</w:t>
      </w:r>
      <w:r>
        <w:rPr>
          <w:rFonts w:hint="eastAsia" w:ascii="楷体_GB2312" w:hAnsi="楷体_GB2312" w:eastAsia="楷体_GB2312" w:cs="楷体_GB2312"/>
          <w:b/>
          <w:bCs/>
          <w:spacing w:val="0"/>
          <w:sz w:val="32"/>
          <w:szCs w:val="32"/>
        </w:rPr>
        <w:t>加强“三个清单”公开。</w:t>
      </w:r>
      <w:r>
        <w:rPr>
          <w:rFonts w:hint="eastAsia" w:ascii="仿宋_GB2312" w:hAnsi="仿宋_GB2312" w:eastAsia="仿宋_GB2312" w:cs="仿宋_GB2312"/>
          <w:spacing w:val="0"/>
          <w:sz w:val="32"/>
          <w:szCs w:val="32"/>
        </w:rPr>
        <w:t>做好</w:t>
      </w:r>
      <w:r>
        <w:rPr>
          <w:rFonts w:hint="eastAsia" w:ascii="仿宋_GB2312" w:hAnsi="仿宋_GB2312" w:eastAsia="仿宋_GB2312" w:cs="仿宋_GB2312"/>
          <w:spacing w:val="0"/>
          <w:sz w:val="32"/>
          <w:szCs w:val="32"/>
          <w:lang w:eastAsia="zh-CN"/>
        </w:rPr>
        <w:t>管委会办公室和各处</w:t>
      </w:r>
      <w:r>
        <w:rPr>
          <w:rFonts w:hint="eastAsia" w:ascii="仿宋_GB2312" w:hAnsi="仿宋_GB2312" w:eastAsia="仿宋_GB2312" w:cs="仿宋_GB2312"/>
          <w:spacing w:val="0"/>
          <w:sz w:val="32"/>
          <w:szCs w:val="32"/>
        </w:rPr>
        <w:t>权责清单公开工作，强化对权力运行全流程的监督和制约，推动依法全面规范履职。</w:t>
      </w:r>
      <w:r>
        <w:rPr>
          <w:rFonts w:hint="eastAsia" w:ascii="楷体_GB2312" w:hAnsi="楷体_GB2312" w:eastAsia="楷体_GB2312" w:cs="楷体_GB2312"/>
          <w:b w:val="0"/>
          <w:bCs w:val="0"/>
          <w:i w:val="0"/>
          <w:caps w:val="0"/>
          <w:color w:val="000000"/>
          <w:spacing w:val="0"/>
          <w:sz w:val="32"/>
          <w:szCs w:val="32"/>
          <w:shd w:val="clear" w:fill="FFFFFF"/>
          <w:lang w:eastAsia="zh-CN"/>
        </w:rPr>
        <w:t>（</w:t>
      </w:r>
      <w:r>
        <w:rPr>
          <w:rFonts w:hint="eastAsia" w:ascii="楷体_GB2312" w:hAnsi="楷体_GB2312" w:eastAsia="楷体_GB2312" w:cs="楷体_GB2312"/>
          <w:b w:val="0"/>
          <w:bCs w:val="0"/>
          <w:i w:val="0"/>
          <w:caps w:val="0"/>
          <w:color w:val="000000"/>
          <w:spacing w:val="0"/>
          <w:sz w:val="32"/>
          <w:szCs w:val="32"/>
          <w:shd w:val="clear" w:fill="FFFFFF"/>
          <w:lang w:val="en-US" w:eastAsia="zh-CN"/>
        </w:rPr>
        <w:t>各处负责落实</w:t>
      </w:r>
      <w:r>
        <w:rPr>
          <w:rFonts w:hint="eastAsia" w:ascii="楷体_GB2312" w:hAnsi="楷体_GB2312" w:eastAsia="楷体_GB2312" w:cs="楷体_GB2312"/>
          <w:b w:val="0"/>
          <w:bCs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eastAsia="zh-CN"/>
        </w:rPr>
      </w:pPr>
      <w:r>
        <w:rPr>
          <w:rFonts w:hint="eastAsia" w:ascii="楷体_GB2312" w:hAnsi="楷体_GB2312" w:eastAsia="楷体_GB2312" w:cs="楷体_GB2312"/>
          <w:b/>
          <w:bCs/>
          <w:spacing w:val="0"/>
          <w:sz w:val="32"/>
          <w:szCs w:val="32"/>
          <w:lang w:eastAsia="zh-CN"/>
        </w:rPr>
        <w:t>（三）</w:t>
      </w:r>
      <w:r>
        <w:rPr>
          <w:rFonts w:hint="eastAsia" w:ascii="楷体_GB2312" w:hAnsi="楷体_GB2312" w:eastAsia="楷体_GB2312" w:cs="楷体_GB2312"/>
          <w:b/>
          <w:bCs/>
          <w:spacing w:val="0"/>
          <w:sz w:val="32"/>
          <w:szCs w:val="32"/>
        </w:rPr>
        <w:t>加强建议提案办理结果公开。</w:t>
      </w:r>
      <w:r>
        <w:rPr>
          <w:rFonts w:hint="eastAsia" w:ascii="仿宋_GB2312" w:hAnsi="仿宋_GB2312" w:eastAsia="仿宋_GB2312" w:cs="仿宋_GB2312"/>
          <w:spacing w:val="0"/>
          <w:sz w:val="32"/>
          <w:szCs w:val="32"/>
        </w:rPr>
        <w:t>进一步做好自治区十</w:t>
      </w: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届人大</w:t>
      </w: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次会议代表建议</w:t>
      </w:r>
      <w:r>
        <w:rPr>
          <w:rFonts w:hint="eastAsia" w:ascii="仿宋_GB2312" w:hAnsi="仿宋_GB2312" w:eastAsia="仿宋_GB2312" w:cs="仿宋_GB2312"/>
          <w:spacing w:val="0"/>
          <w:sz w:val="32"/>
          <w:szCs w:val="32"/>
          <w:lang w:eastAsia="zh-CN"/>
        </w:rPr>
        <w:t>和</w:t>
      </w:r>
      <w:r>
        <w:rPr>
          <w:rFonts w:hint="eastAsia" w:ascii="仿宋_GB2312" w:hAnsi="仿宋_GB2312" w:eastAsia="仿宋_GB2312" w:cs="仿宋_GB2312"/>
          <w:spacing w:val="0"/>
          <w:sz w:val="32"/>
          <w:szCs w:val="32"/>
        </w:rPr>
        <w:t>自治区政协十</w:t>
      </w: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届</w:t>
      </w: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次会议提案办理结果公开工作，对涉及公共利益、社会广泛关注的建议提案，原则上要公开答复全文，接受群众监督。</w:t>
      </w:r>
      <w:r>
        <w:rPr>
          <w:rFonts w:hint="eastAsia" w:ascii="楷体_GB2312" w:hAnsi="楷体_GB2312" w:eastAsia="楷体_GB2312" w:cs="楷体_GB2312"/>
          <w:b w:val="0"/>
          <w:bCs w:val="0"/>
          <w:i w:val="0"/>
          <w:caps w:val="0"/>
          <w:color w:val="000000"/>
          <w:spacing w:val="0"/>
          <w:sz w:val="32"/>
          <w:szCs w:val="32"/>
          <w:shd w:val="clear" w:fill="FFFFFF"/>
          <w:lang w:eastAsia="zh-CN"/>
        </w:rPr>
        <w:t>(产业发展处、规划建设处负责落实)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rPr>
        <w:t>二、深化重点领域公开，促进政策落实落地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eastAsia="zh-CN"/>
        </w:rPr>
      </w:pP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 xml:space="preserve"> </w:t>
      </w:r>
      <w:r>
        <w:rPr>
          <w:rFonts w:hint="eastAsia" w:ascii="楷体_GB2312" w:hAnsi="楷体_GB2312" w:eastAsia="楷体_GB2312" w:cs="楷体_GB2312"/>
          <w:b/>
          <w:bCs/>
          <w:spacing w:val="0"/>
          <w:sz w:val="32"/>
          <w:szCs w:val="32"/>
        </w:rPr>
        <w:t xml:space="preserve"> </w:t>
      </w:r>
      <w:r>
        <w:rPr>
          <w:rFonts w:hint="eastAsia" w:ascii="楷体_GB2312" w:hAnsi="楷体_GB2312" w:eastAsia="楷体_GB2312" w:cs="楷体_GB2312"/>
          <w:b/>
          <w:bCs/>
          <w:spacing w:val="0"/>
          <w:sz w:val="32"/>
          <w:szCs w:val="32"/>
          <w:lang w:eastAsia="zh-CN"/>
        </w:rPr>
        <w:t>（一）</w:t>
      </w:r>
      <w:r>
        <w:rPr>
          <w:rFonts w:hint="eastAsia" w:ascii="楷体_GB2312" w:hAnsi="楷体_GB2312" w:eastAsia="楷体_GB2312" w:cs="楷体_GB2312"/>
          <w:b/>
          <w:bCs/>
          <w:spacing w:val="0"/>
          <w:sz w:val="32"/>
          <w:szCs w:val="32"/>
        </w:rPr>
        <w:t>推进预决算和审计信息公开。</w:t>
      </w:r>
      <w:r>
        <w:rPr>
          <w:rFonts w:hint="eastAsia" w:ascii="仿宋_GB2312" w:hAnsi="仿宋_GB2312" w:eastAsia="仿宋_GB2312" w:cs="仿宋_GB2312"/>
          <w:spacing w:val="0"/>
          <w:sz w:val="32"/>
          <w:szCs w:val="32"/>
        </w:rPr>
        <w:t>认真贯彻落实《自治区党委办公厅人民政府办公厅印发</w:t>
      </w:r>
      <w:r>
        <w:rPr>
          <w:rFonts w:hint="eastAsia" w:ascii="仿宋_GB2312" w:hAnsi="仿宋_GB2312" w:eastAsia="仿宋_GB2312" w:cs="仿宋_GB2312"/>
          <w:spacing w:val="0"/>
          <w:sz w:val="32"/>
          <w:szCs w:val="32"/>
          <w:lang w:val="en-US" w:eastAsia="zh-CN"/>
        </w:rPr>
        <w:t>&lt;</w:t>
      </w:r>
      <w:r>
        <w:rPr>
          <w:rFonts w:hint="eastAsia" w:ascii="仿宋_GB2312" w:hAnsi="仿宋_GB2312" w:eastAsia="仿宋_GB2312" w:cs="仿宋_GB2312"/>
          <w:spacing w:val="0"/>
          <w:sz w:val="32"/>
          <w:szCs w:val="32"/>
        </w:rPr>
        <w:t>关于深入推进全区预决算公开工作的意见</w:t>
      </w:r>
      <w:r>
        <w:rPr>
          <w:rFonts w:hint="eastAsia" w:ascii="仿宋_GB2312" w:hAnsi="仿宋_GB2312" w:eastAsia="仿宋_GB2312" w:cs="仿宋_GB2312"/>
          <w:spacing w:val="0"/>
          <w:sz w:val="32"/>
          <w:szCs w:val="32"/>
          <w:lang w:val="en-US" w:eastAsia="zh-CN"/>
        </w:rPr>
        <w:t>&gt;</w:t>
      </w:r>
      <w:r>
        <w:rPr>
          <w:rFonts w:hint="eastAsia" w:ascii="仿宋_GB2312" w:hAnsi="仿宋_GB2312" w:eastAsia="仿宋_GB2312" w:cs="仿宋_GB2312"/>
          <w:spacing w:val="0"/>
          <w:sz w:val="32"/>
          <w:szCs w:val="32"/>
        </w:rPr>
        <w:t>的通知》(宁党办〔2016〕54号)要求，进一步扩大公开范围，细化公开内容，规范公开方式。完善</w:t>
      </w:r>
      <w:r>
        <w:rPr>
          <w:rFonts w:hint="eastAsia" w:ascii="仿宋_GB2312" w:hAnsi="仿宋_GB2312" w:eastAsia="仿宋_GB2312" w:cs="仿宋_GB2312"/>
          <w:spacing w:val="0"/>
          <w:sz w:val="32"/>
          <w:szCs w:val="32"/>
          <w:lang w:eastAsia="zh-CN"/>
        </w:rPr>
        <w:t>葡萄局</w:t>
      </w:r>
      <w:r>
        <w:rPr>
          <w:rFonts w:hint="eastAsia" w:ascii="仿宋_GB2312" w:hAnsi="仿宋_GB2312" w:eastAsia="仿宋_GB2312" w:cs="仿宋_GB2312"/>
          <w:spacing w:val="0"/>
          <w:sz w:val="32"/>
          <w:szCs w:val="32"/>
        </w:rPr>
        <w:t>门户网站预决算公开统一专栏，方便公众查阅和监督。</w:t>
      </w:r>
      <w:r>
        <w:rPr>
          <w:rFonts w:hint="eastAsia" w:ascii="楷体_GB2312" w:hAnsi="楷体_GB2312" w:eastAsia="楷体_GB2312" w:cs="楷体_GB2312"/>
          <w:b w:val="0"/>
          <w:bCs w:val="0"/>
          <w:i w:val="0"/>
          <w:caps w:val="0"/>
          <w:color w:val="000000"/>
          <w:spacing w:val="0"/>
          <w:sz w:val="32"/>
          <w:szCs w:val="32"/>
          <w:shd w:val="clear" w:fill="FFFFFF"/>
          <w:lang w:eastAsia="zh-CN"/>
        </w:rPr>
        <w:t>(金融服务科负责落实)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eastAsia="zh-CN"/>
        </w:rPr>
        <w:t>（二）</w:t>
      </w:r>
      <w:r>
        <w:rPr>
          <w:rFonts w:hint="eastAsia" w:ascii="楷体_GB2312" w:hAnsi="楷体_GB2312" w:eastAsia="楷体_GB2312" w:cs="楷体_GB2312"/>
          <w:b/>
          <w:bCs/>
          <w:spacing w:val="0"/>
          <w:sz w:val="32"/>
          <w:szCs w:val="32"/>
        </w:rPr>
        <w:t>推进重大建设项目批准和实施领域政府信息公开。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spacing w:val="0"/>
          <w:sz w:val="32"/>
          <w:szCs w:val="32"/>
        </w:rPr>
        <w:t>在重大建设项目批准和实施过程中，重点公开批准与服务、批准结果、招标投标、征收土地、重大设计变更、施工、质量安全监督、竣工等8类信息。结合实际，确定一批</w:t>
      </w:r>
      <w:r>
        <w:rPr>
          <w:rFonts w:hint="eastAsia" w:ascii="仿宋_GB2312" w:hAnsi="仿宋_GB2312" w:eastAsia="仿宋_GB2312" w:cs="仿宋_GB2312"/>
          <w:spacing w:val="0"/>
          <w:sz w:val="32"/>
          <w:szCs w:val="32"/>
          <w:lang w:eastAsia="zh-CN"/>
        </w:rPr>
        <w:t>葡萄酒行业</w:t>
      </w:r>
      <w:r>
        <w:rPr>
          <w:rFonts w:hint="eastAsia" w:ascii="仿宋_GB2312" w:hAnsi="仿宋_GB2312" w:eastAsia="仿宋_GB2312" w:cs="仿宋_GB2312"/>
          <w:spacing w:val="0"/>
          <w:sz w:val="32"/>
          <w:szCs w:val="32"/>
        </w:rPr>
        <w:t>社会关注度高的重大建设项目，做好中标结果公示、合同订立及履行情况等信息的公开工作。</w:t>
      </w:r>
      <w:r>
        <w:rPr>
          <w:rFonts w:hint="eastAsia" w:ascii="楷体_GB2312" w:hAnsi="楷体_GB2312" w:eastAsia="楷体_GB2312" w:cs="楷体_GB2312"/>
          <w:b w:val="0"/>
          <w:bCs w:val="0"/>
          <w:i w:val="0"/>
          <w:caps w:val="0"/>
          <w:color w:val="000000"/>
          <w:spacing w:val="0"/>
          <w:sz w:val="32"/>
          <w:szCs w:val="32"/>
          <w:shd w:val="clear" w:fill="FFFFFF"/>
          <w:lang w:eastAsia="zh-CN"/>
        </w:rPr>
        <w:t>(规划建设处、交易博览中心负责落实)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（三）完善重点领域信息公开机制。</w:t>
      </w:r>
      <w:r>
        <w:rPr>
          <w:rFonts w:hint="eastAsia" w:ascii="仿宋_GB2312" w:hAnsi="仿宋_GB2312" w:eastAsia="仿宋_GB2312" w:cs="仿宋_GB2312"/>
          <w:spacing w:val="0"/>
          <w:sz w:val="32"/>
          <w:szCs w:val="32"/>
          <w:lang w:val="en-US" w:eastAsia="zh-CN"/>
        </w:rPr>
        <w:t>把重点工作信息公开纳入主动公开基本目录，</w:t>
      </w:r>
      <w:r>
        <w:rPr>
          <w:rFonts w:hint="eastAsia" w:ascii="仿宋_GB2312" w:hAnsi="宋体" w:eastAsia="仿宋_GB2312" w:cs="宋体"/>
          <w:spacing w:val="0"/>
          <w:kern w:val="0"/>
          <w:sz w:val="32"/>
          <w:szCs w:val="32"/>
          <w:lang w:val="en-US" w:eastAsia="zh-CN" w:bidi="ar-SA"/>
        </w:rPr>
        <w:t>并健全“目录”动态更新机制，实现“应公开，尽公开；应上网，尽上网”，接受社会监督</w:t>
      </w:r>
      <w:r>
        <w:rPr>
          <w:rFonts w:hint="eastAsia" w:ascii="仿宋_GB2312" w:hAnsi="仿宋_GB2312" w:eastAsia="仿宋_GB2312" w:cs="仿宋_GB2312"/>
          <w:spacing w:val="0"/>
          <w:sz w:val="32"/>
          <w:szCs w:val="32"/>
          <w:lang w:val="en-US" w:eastAsia="zh-CN"/>
        </w:rPr>
        <w:t>。</w:t>
      </w:r>
      <w:r>
        <w:rPr>
          <w:rFonts w:hint="eastAsia" w:ascii="楷体_GB2312" w:hAnsi="楷体_GB2312" w:eastAsia="楷体_GB2312" w:cs="楷体_GB2312"/>
          <w:spacing w:val="0"/>
          <w:kern w:val="0"/>
          <w:sz w:val="32"/>
          <w:szCs w:val="32"/>
          <w:lang w:val="en-US" w:eastAsia="zh-CN" w:bidi="ar-SA"/>
        </w:rPr>
        <w:t>（综合处牵头，规划建设处、产业发展处、交易博览中心、联合会秘书处配合）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三、着力加强政策解读，努力增进社会共识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（一）扩展解读范围。</w:t>
      </w:r>
      <w:r>
        <w:rPr>
          <w:rFonts w:hint="eastAsia" w:ascii="仿宋_GB2312" w:hAnsi="仿宋_GB2312" w:eastAsia="仿宋_GB2312" w:cs="仿宋_GB2312"/>
          <w:spacing w:val="0"/>
          <w:sz w:val="32"/>
          <w:szCs w:val="32"/>
          <w:lang w:val="en-US" w:eastAsia="zh-CN"/>
        </w:rPr>
        <w:t>牢牢把握推动高质量发展的根本要求，聚焦深入推进供给侧结构性改革、深化基础性关键领域改革、大力实施乡村振兴战略、扎实推进区域协调发展战略、积极扩大消费和促进有效投资、推动形成全面开放新格局、提高保障和改善民生水平，以及打造西部地区转型发展先行区、全国脱贫攻坚示范区、西部地区生态文明建设先行区、内陆开放型经济试验区、全国民族团结进步示范区等中央和自治区重大部署，解读好相关政策措施、执行情况和工作成效，赢得人民群众的理解和支持。重点抓好实施创新驱动、脱贫富民、生态立区“三大战略”、创建国家生态文明试验区、国家文化产业园区、国家科技示范区等相关政策措施的解读工作，为推动政策落实营造良好环境。</w:t>
      </w:r>
      <w:r>
        <w:rPr>
          <w:rFonts w:hint="eastAsia" w:ascii="楷体_GB2312" w:hAnsi="楷体_GB2312" w:eastAsia="楷体_GB2312" w:cs="楷体_GB2312"/>
          <w:b w:val="0"/>
          <w:bCs w:val="0"/>
          <w:spacing w:val="0"/>
          <w:kern w:val="0"/>
          <w:sz w:val="32"/>
          <w:szCs w:val="32"/>
          <w:lang w:val="en-US" w:eastAsia="zh-CN" w:bidi="ar-SA"/>
        </w:rPr>
        <w:t>（各处、交易博览中心、联合会秘书处负责落实）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（二）完善解读机制。</w:t>
      </w:r>
      <w:r>
        <w:rPr>
          <w:rFonts w:hint="eastAsia" w:ascii="仿宋_GB2312" w:hAnsi="宋体" w:eastAsia="仿宋_GB2312" w:cs="宋体"/>
          <w:spacing w:val="0"/>
          <w:kern w:val="0"/>
          <w:sz w:val="32"/>
          <w:szCs w:val="32"/>
          <w:lang w:val="en-US" w:eastAsia="zh-CN" w:bidi="ar-SA"/>
        </w:rPr>
        <w:t>坚持“谁起草、谁解读”原则，起草文件的各处、单位是政策解读的责任主体。文件起草部门主要负责人是“第一解读人和责任人”，要敢于担当，通过参加政策吹风会、新闻发布会、撰写解读文章、接受媒体采访和在线访谈等多种方式，带头解读政策，传递权威声音，</w:t>
      </w:r>
      <w:r>
        <w:rPr>
          <w:rFonts w:hint="eastAsia" w:ascii="仿宋_GB2312" w:hAnsi="仿宋_GB2312" w:eastAsia="仿宋_GB2312" w:cs="仿宋_GB2312"/>
          <w:spacing w:val="0"/>
          <w:sz w:val="32"/>
          <w:szCs w:val="32"/>
          <w:lang w:val="en-US" w:eastAsia="zh-CN"/>
        </w:rPr>
        <w:t>1年内解读重要政策措施应不少于2次。</w:t>
      </w:r>
      <w:r>
        <w:rPr>
          <w:rFonts w:hint="eastAsia" w:ascii="楷体_GB2312" w:hAnsi="楷体_GB2312" w:eastAsia="楷体_GB2312" w:cs="楷体_GB2312"/>
          <w:spacing w:val="0"/>
          <w:kern w:val="0"/>
          <w:sz w:val="32"/>
          <w:szCs w:val="32"/>
          <w:lang w:val="en-US" w:eastAsia="zh-CN" w:bidi="ar-SA"/>
        </w:rPr>
        <w:t>（综合处牵头，规划建设处、产业发展处、交易博览中心、联合会秘书处配合）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1" w:firstLineChars="0"/>
        <w:jc w:val="both"/>
        <w:textAlignment w:val="auto"/>
        <w:outlineLvl w:val="9"/>
        <w:rPr>
          <w:rFonts w:hint="eastAsia" w:ascii="楷体_GB2312" w:hAnsi="楷体_GB2312" w:eastAsia="楷体_GB2312" w:cs="楷体_GB2312"/>
          <w:b w:val="0"/>
          <w:bCs w:val="0"/>
          <w:spacing w:val="0"/>
          <w:kern w:val="0"/>
          <w:sz w:val="32"/>
          <w:szCs w:val="32"/>
          <w:lang w:val="en-US" w:eastAsia="zh-CN" w:bidi="ar-SA"/>
        </w:rPr>
      </w:pPr>
      <w:r>
        <w:rPr>
          <w:rFonts w:hint="eastAsia" w:ascii="楷体_GB2312" w:hAnsi="楷体_GB2312" w:eastAsia="楷体_GB2312" w:cs="楷体_GB2312"/>
          <w:b/>
          <w:bCs/>
          <w:spacing w:val="0"/>
          <w:sz w:val="32"/>
          <w:szCs w:val="32"/>
          <w:lang w:val="en-US" w:eastAsia="zh-CN"/>
        </w:rPr>
        <w:t>（三）提高解读效果。</w:t>
      </w:r>
      <w:r>
        <w:rPr>
          <w:rFonts w:hint="eastAsia" w:ascii="仿宋_GB2312" w:hAnsi="宋体" w:eastAsia="仿宋_GB2312" w:cs="宋体"/>
          <w:spacing w:val="0"/>
          <w:kern w:val="0"/>
          <w:sz w:val="32"/>
          <w:szCs w:val="32"/>
          <w:lang w:val="en-US" w:eastAsia="zh-CN" w:bidi="ar-SA"/>
        </w:rPr>
        <w:t>政策解读要运用撰稿解读、专家解读、政策问答、在线访谈、媒体专访、新闻发布会等形式。要积极适应网络传播特点，更多地运用数字化、图片图解图表、音频视频等可视化方式，增强解读效果。要充分发挥参与政策制定者和掌握相关政策、熟悉有关领域业务的专家学者的作用，多角度、全方位、有序有效阐释政策，提升解读的权威性和针对性。对一些专业性较强的政策，要进行形象化、通俗化解读，多举实例、多讲故事，确保广大人民群众“听得懂、好明白、能理解”。要充分运用新闻媒体、局网站、政务“两微一端”等传播媒介，发挥好主流媒体“定向定调”作用，做好重大政策宣传解读工作；注重利用商业网站及都市类、专业类媒体，增强政策解读的传播力和影响力。</w:t>
      </w:r>
      <w:r>
        <w:rPr>
          <w:rFonts w:hint="eastAsia" w:ascii="楷体_GB2312" w:hAnsi="楷体_GB2312" w:eastAsia="楷体_GB2312" w:cs="楷体_GB2312"/>
          <w:b w:val="0"/>
          <w:bCs w:val="0"/>
          <w:spacing w:val="0"/>
          <w:kern w:val="0"/>
          <w:sz w:val="32"/>
          <w:szCs w:val="32"/>
          <w:lang w:val="en-US" w:eastAsia="zh-CN" w:bidi="ar-SA"/>
        </w:rPr>
        <w:t>（各处、交易博览中心、联合会秘书处负责落实）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四、高度重视舆情回应，主动引导社会预期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（一）把握回应重点。</w:t>
      </w:r>
      <w:r>
        <w:rPr>
          <w:rFonts w:hint="eastAsia" w:ascii="仿宋_GB2312" w:hAnsi="仿宋_GB2312" w:eastAsia="仿宋_GB2312" w:cs="仿宋_GB2312"/>
          <w:spacing w:val="0"/>
          <w:sz w:val="32"/>
          <w:szCs w:val="32"/>
          <w:lang w:val="en-US" w:eastAsia="zh-CN"/>
        </w:rPr>
        <w:t>认真贯彻执行中央和自治区有关部署要求，切实增强舆情风险防控意识，以社会重大关切为着眼点，密切监测收集苗头性舆情，做到早发现、早研判、早处置。加快建立全覆益、全方位、全天候的政务舆情监测机制，突出做好安全生产、防灾减灾救灾、生态环境保护、葡萄与葡萄酒销售等热点舆情回应，更好地引导社会预期。</w:t>
      </w:r>
      <w:r>
        <w:rPr>
          <w:rFonts w:hint="eastAsia" w:ascii="楷体_GB2312" w:hAnsi="楷体_GB2312" w:eastAsia="楷体_GB2312" w:cs="楷体_GB2312"/>
          <w:spacing w:val="0"/>
          <w:kern w:val="0"/>
          <w:sz w:val="32"/>
          <w:szCs w:val="32"/>
          <w:lang w:val="en-US" w:eastAsia="zh-CN" w:bidi="ar-SA"/>
        </w:rPr>
        <w:t>（综合处牵头，规划建设处、产业发展处、交易博览中心、联合会秘书处配合）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（二）强化联动机制。</w:t>
      </w:r>
      <w:r>
        <w:rPr>
          <w:rFonts w:hint="eastAsia" w:ascii="仿宋_GB2312" w:hAnsi="仿宋_GB2312" w:eastAsia="仿宋_GB2312" w:cs="仿宋_GB2312"/>
          <w:spacing w:val="0"/>
          <w:sz w:val="32"/>
          <w:szCs w:val="32"/>
          <w:lang w:val="en-US" w:eastAsia="zh-CN"/>
        </w:rPr>
        <w:t>建立完善与宣传、网信、公安、通信管理等部门的快速反应和协调联动机制，加强与新闻媒体的沟通联系，提高政务舆情回应的主动性、针对性、有效性。</w:t>
      </w:r>
      <w:r>
        <w:rPr>
          <w:rFonts w:hint="eastAsia" w:ascii="楷体_GB2312" w:hAnsi="楷体_GB2312" w:eastAsia="楷体_GB2312" w:cs="楷体_GB2312"/>
          <w:spacing w:val="0"/>
          <w:sz w:val="32"/>
          <w:szCs w:val="32"/>
          <w:lang w:val="en-US" w:eastAsia="zh-CN"/>
        </w:rPr>
        <w:t>(综合处负责落实)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（三）加大问责力度。</w:t>
      </w:r>
      <w:r>
        <w:rPr>
          <w:rFonts w:hint="eastAsia" w:ascii="仿宋_GB2312" w:hAnsi="仿宋_GB2312" w:eastAsia="仿宋_GB2312" w:cs="仿宋_GB2312"/>
          <w:spacing w:val="0"/>
          <w:sz w:val="32"/>
          <w:szCs w:val="32"/>
          <w:lang w:val="en-US" w:eastAsia="zh-CN"/>
        </w:rPr>
        <w:t>建立完善问责制度，对重大政务舆情处置不得力、回应不妥当、报告不及时，且造成较大负面社会影响的处室、相关单位及有关责任人员，予以通报批评或对负责人进行约谈，督促深入整改。</w:t>
      </w:r>
      <w:r>
        <w:rPr>
          <w:rFonts w:hint="eastAsia" w:ascii="楷体_GB2312" w:hAnsi="楷体_GB2312" w:eastAsia="楷体_GB2312" w:cs="楷体_GB2312"/>
          <w:spacing w:val="0"/>
          <w:sz w:val="32"/>
          <w:szCs w:val="32"/>
          <w:lang w:val="en-US" w:eastAsia="zh-CN"/>
        </w:rPr>
        <w:t>(综合处负责落实)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五、提升服务公开水平，创新创优发展环境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（一）推进网上办事服务公开。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spacing w:val="0"/>
          <w:sz w:val="32"/>
          <w:szCs w:val="32"/>
          <w:lang w:val="en-US" w:eastAsia="zh-CN"/>
        </w:rPr>
        <w:t>1.</w:t>
      </w:r>
      <w:r>
        <w:rPr>
          <w:rFonts w:hint="eastAsia" w:ascii="仿宋_GB2312" w:hAnsi="仿宋_GB2312" w:eastAsia="仿宋_GB2312" w:cs="仿宋_GB2312"/>
          <w:b w:val="0"/>
          <w:bCs w:val="0"/>
          <w:spacing w:val="0"/>
          <w:sz w:val="32"/>
          <w:szCs w:val="32"/>
          <w:lang w:eastAsia="zh-CN"/>
        </w:rPr>
        <w:t>推进智能化产区建设，</w:t>
      </w:r>
      <w:r>
        <w:rPr>
          <w:rFonts w:hint="eastAsia" w:ascii="仿宋_GB2312" w:hAnsi="仿宋_GB2312" w:eastAsia="仿宋_GB2312" w:cs="仿宋_GB2312"/>
          <w:b w:val="0"/>
          <w:bCs w:val="0"/>
          <w:color w:val="auto"/>
          <w:spacing w:val="0"/>
          <w:kern w:val="0"/>
          <w:sz w:val="32"/>
          <w:szCs w:val="32"/>
          <w:lang w:eastAsia="zh-CN"/>
        </w:rPr>
        <w:t>完善</w:t>
      </w:r>
      <w:r>
        <w:rPr>
          <w:rFonts w:hint="eastAsia" w:ascii="仿宋_GB2312" w:hAnsi="仿宋_GB2312" w:eastAsia="仿宋_GB2312" w:cs="仿宋_GB2312"/>
          <w:b w:val="0"/>
          <w:bCs w:val="0"/>
          <w:color w:val="auto"/>
          <w:spacing w:val="0"/>
          <w:kern w:val="0"/>
          <w:sz w:val="32"/>
          <w:szCs w:val="32"/>
          <w:lang w:val="en-US" w:eastAsia="zh-CN" w:bidi="ar"/>
        </w:rPr>
        <w:t>质量监管与流通追溯体系</w:t>
      </w:r>
      <w:r>
        <w:rPr>
          <w:rFonts w:hint="eastAsia" w:ascii="仿宋_GB2312" w:eastAsia="仿宋_GB2312"/>
          <w:b w:val="0"/>
          <w:bCs w:val="0"/>
          <w:spacing w:val="0"/>
          <w:sz w:val="32"/>
          <w:szCs w:val="32"/>
        </w:rPr>
        <w:t>。</w:t>
      </w:r>
      <w:r>
        <w:rPr>
          <w:rFonts w:hint="eastAsia" w:ascii="仿宋_GB2312" w:hAnsi="仿宋_GB2312" w:eastAsia="仿宋_GB2312" w:cs="仿宋_GB2312"/>
          <w:b w:val="0"/>
          <w:bCs w:val="0"/>
          <w:color w:val="auto"/>
          <w:spacing w:val="0"/>
          <w:kern w:val="0"/>
          <w:sz w:val="32"/>
          <w:szCs w:val="32"/>
          <w:lang w:eastAsia="zh-CN"/>
        </w:rPr>
        <w:t>应用现代信息技术，建设覆盖全产区、全产业链的智能化产区综合监管、信息发布、产业服务体系，</w:t>
      </w:r>
      <w:r>
        <w:rPr>
          <w:rFonts w:hint="eastAsia" w:ascii="仿宋_GB2312" w:hAnsi="仿宋_GB2312" w:eastAsia="仿宋_GB2312" w:cs="仿宋_GB2312"/>
          <w:b w:val="0"/>
          <w:bCs w:val="0"/>
          <w:color w:val="auto"/>
          <w:spacing w:val="0"/>
          <w:sz w:val="32"/>
          <w:szCs w:val="32"/>
          <w:lang w:val="en-US" w:eastAsia="zh-CN"/>
        </w:rPr>
        <w:t>实现绿色发展。</w:t>
      </w:r>
      <w:r>
        <w:rPr>
          <w:rFonts w:hint="eastAsia" w:ascii="仿宋_GB2312" w:hAnsi="仿宋_GB2312" w:eastAsia="仿宋_GB2312" w:cs="仿宋_GB2312"/>
          <w:b w:val="0"/>
          <w:bCs w:val="0"/>
          <w:color w:val="auto"/>
          <w:spacing w:val="0"/>
          <w:kern w:val="0"/>
          <w:sz w:val="32"/>
          <w:szCs w:val="32"/>
          <w:lang w:eastAsia="zh-CN"/>
        </w:rPr>
        <w:t>重点建设综合监管、远程检测和</w:t>
      </w:r>
      <w:r>
        <w:rPr>
          <w:rFonts w:hint="eastAsia" w:ascii="仿宋_GB2312" w:hAnsi="仿宋_GB2312" w:eastAsia="仿宋_GB2312" w:cs="仿宋_GB2312"/>
          <w:b w:val="0"/>
          <w:bCs w:val="0"/>
          <w:color w:val="auto"/>
          <w:spacing w:val="0"/>
          <w:kern w:val="0"/>
          <w:sz w:val="32"/>
          <w:szCs w:val="32"/>
          <w:lang w:val="en-US" w:eastAsia="zh-CN"/>
        </w:rPr>
        <w:t>市场</w:t>
      </w:r>
      <w:r>
        <w:rPr>
          <w:rFonts w:hint="eastAsia" w:ascii="仿宋_GB2312" w:hAnsi="仿宋_GB2312" w:eastAsia="仿宋_GB2312" w:cs="仿宋_GB2312"/>
          <w:b w:val="0"/>
          <w:bCs w:val="0"/>
          <w:color w:val="auto"/>
          <w:spacing w:val="0"/>
          <w:kern w:val="0"/>
          <w:sz w:val="32"/>
          <w:szCs w:val="32"/>
          <w:lang w:eastAsia="zh-CN"/>
        </w:rPr>
        <w:t>服务3个平台。</w:t>
      </w:r>
      <w:r>
        <w:rPr>
          <w:rFonts w:hint="eastAsia" w:ascii="楷体_GB2312" w:hAnsi="楷体_GB2312" w:eastAsia="楷体_GB2312" w:cs="楷体_GB2312"/>
          <w:b w:val="0"/>
          <w:bCs w:val="0"/>
          <w:i w:val="0"/>
          <w:caps w:val="0"/>
          <w:color w:val="000000"/>
          <w:spacing w:val="0"/>
          <w:sz w:val="32"/>
          <w:szCs w:val="32"/>
          <w:shd w:val="clear" w:fill="FFFFFF"/>
          <w:lang w:val="en-US" w:eastAsia="zh-CN"/>
        </w:rPr>
        <w:t>(规划建设处负责落实)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spacing w:val="0"/>
          <w:sz w:val="32"/>
          <w:szCs w:val="32"/>
          <w:lang w:val="en-US" w:eastAsia="zh-CN"/>
        </w:rPr>
        <w:t>2.认真贯彻落实《自治区党委办公厅人民政府办公厅关于切实加强网民留言办理工作的通知》(宁党厅宇〔2017〕25号)要求，对网民通过各级政府网站“领导信箱”等渠道反映的诉求，及时处理答复，做到“网上听民声、线下办实事”，为群众提供更好服务。</w:t>
      </w:r>
      <w:r>
        <w:rPr>
          <w:rFonts w:hint="eastAsia" w:ascii="楷体_GB2312" w:hAnsi="楷体_GB2312" w:eastAsia="楷体_GB2312" w:cs="楷体_GB2312"/>
          <w:b w:val="0"/>
          <w:bCs w:val="0"/>
          <w:i w:val="0"/>
          <w:caps w:val="0"/>
          <w:color w:val="000000"/>
          <w:spacing w:val="0"/>
          <w:sz w:val="32"/>
          <w:szCs w:val="32"/>
          <w:shd w:val="clear" w:fill="FFFFFF"/>
          <w:lang w:val="en-US" w:eastAsia="zh-CN"/>
        </w:rPr>
        <w:t>（各处、交易博览中心、联合会秘书处负责落实）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楷体_GB2312" w:hAnsi="楷体_GB2312" w:eastAsia="楷体_GB2312" w:cs="楷体_GB2312"/>
          <w:b/>
          <w:bCs/>
          <w:spacing w:val="0"/>
          <w:sz w:val="32"/>
          <w:szCs w:val="32"/>
          <w:lang w:val="en-US" w:eastAsia="zh-CN"/>
        </w:rPr>
        <w:t>（二）优化审批与办事服务。</w:t>
      </w:r>
      <w:r>
        <w:rPr>
          <w:rFonts w:hint="eastAsia" w:ascii="仿宋_GB2312" w:hAnsi="宋体" w:eastAsia="仿宋_GB2312" w:cs="宋体"/>
          <w:spacing w:val="0"/>
          <w:kern w:val="0"/>
          <w:sz w:val="32"/>
          <w:szCs w:val="32"/>
          <w:lang w:val="en-US" w:eastAsia="zh-CN" w:bidi="ar-SA"/>
        </w:rPr>
        <w:t>2018年11月底前，各处室、相关单位对本部门不予公开的信息以及依申请公开较为集中的信息进行全面自查，发现应公开未公开的信息应当及时公开，可转为主动公开的应当主动公开，自查整改情况应及时报送综合处。综合处对发现的应公开未公开等问题及时督促整改。严格落实公开前保密审查机制，规范保密审查程序，妥善处理好政务公开与保守国家秘密的关系，依法做好保密工作。</w:t>
      </w:r>
      <w:r>
        <w:rPr>
          <w:rFonts w:hint="eastAsia" w:ascii="楷体_GB2312" w:hAnsi="楷体_GB2312" w:eastAsia="楷体_GB2312" w:cs="楷体_GB2312"/>
          <w:b w:val="0"/>
          <w:bCs w:val="0"/>
          <w:i w:val="0"/>
          <w:caps w:val="0"/>
          <w:color w:val="000000"/>
          <w:spacing w:val="0"/>
          <w:sz w:val="32"/>
          <w:szCs w:val="32"/>
          <w:shd w:val="clear" w:fill="FFFFFF"/>
          <w:lang w:val="en-US" w:eastAsia="zh-CN"/>
        </w:rPr>
        <w:t>（综合处负责落实）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六、强化公开平台建设，增强支撑保障能力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48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（一）加强局网站建设和管理。</w:t>
      </w:r>
      <w:r>
        <w:rPr>
          <w:rFonts w:hint="eastAsia" w:ascii="仿宋_GB2312" w:hAnsi="仿宋_GB2312" w:eastAsia="仿宋_GB2312" w:cs="仿宋_GB2312"/>
          <w:b w:val="0"/>
          <w:i w:val="0"/>
          <w:caps w:val="0"/>
          <w:color w:val="000000"/>
          <w:spacing w:val="0"/>
          <w:sz w:val="32"/>
          <w:szCs w:val="32"/>
          <w:shd w:val="clear" w:fill="FFFFFF"/>
        </w:rPr>
        <w:t>建立健全</w:t>
      </w:r>
      <w:r>
        <w:rPr>
          <w:rFonts w:hint="eastAsia" w:ascii="仿宋_GB2312" w:hAnsi="仿宋_GB2312" w:eastAsia="仿宋_GB2312" w:cs="仿宋_GB2312"/>
          <w:b w:val="0"/>
          <w:i w:val="0"/>
          <w:caps w:val="0"/>
          <w:color w:val="000000"/>
          <w:spacing w:val="0"/>
          <w:sz w:val="32"/>
          <w:szCs w:val="32"/>
          <w:shd w:val="clear" w:fill="FFFFFF"/>
          <w:lang w:eastAsia="zh-CN"/>
        </w:rPr>
        <w:t>葡萄产业局官网</w:t>
      </w:r>
      <w:r>
        <w:rPr>
          <w:rFonts w:hint="eastAsia" w:ascii="仿宋_GB2312" w:hAnsi="仿宋_GB2312" w:eastAsia="仿宋_GB2312" w:cs="仿宋_GB2312"/>
          <w:b w:val="0"/>
          <w:i w:val="0"/>
          <w:caps w:val="0"/>
          <w:color w:val="000000"/>
          <w:spacing w:val="0"/>
          <w:sz w:val="32"/>
          <w:szCs w:val="32"/>
          <w:shd w:val="clear" w:fill="FFFFFF"/>
        </w:rPr>
        <w:t>日常监测机制，及时发现和解决网站存在的问题。各处、单位在规定的政府信息公开范围内制定的公文，在印发的同时上报</w:t>
      </w:r>
      <w:r>
        <w:rPr>
          <w:rFonts w:hint="eastAsia" w:ascii="仿宋_GB2312" w:hAnsi="仿宋_GB2312" w:eastAsia="仿宋_GB2312" w:cs="仿宋_GB2312"/>
          <w:b w:val="0"/>
          <w:i w:val="0"/>
          <w:caps w:val="0"/>
          <w:color w:val="000000"/>
          <w:spacing w:val="0"/>
          <w:sz w:val="32"/>
          <w:szCs w:val="32"/>
          <w:shd w:val="clear" w:fill="FFFFFF"/>
          <w:lang w:eastAsia="zh-CN"/>
        </w:rPr>
        <w:t>综合处</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lang w:eastAsia="zh-CN"/>
        </w:rPr>
        <w:t>综合处</w:t>
      </w:r>
      <w:r>
        <w:rPr>
          <w:rFonts w:hint="eastAsia" w:ascii="仿宋_GB2312" w:hAnsi="仿宋_GB2312" w:eastAsia="仿宋_GB2312" w:cs="仿宋_GB2312"/>
          <w:b w:val="0"/>
          <w:i w:val="0"/>
          <w:caps w:val="0"/>
          <w:color w:val="000000"/>
          <w:spacing w:val="0"/>
          <w:sz w:val="32"/>
          <w:szCs w:val="32"/>
          <w:shd w:val="clear" w:fill="FFFFFF"/>
        </w:rPr>
        <w:t>即时上网公布；各类媒体的新闻报道，各处、单位要做好与</w:t>
      </w:r>
      <w:r>
        <w:rPr>
          <w:rFonts w:hint="eastAsia" w:ascii="仿宋_GB2312" w:hAnsi="仿宋_GB2312" w:eastAsia="仿宋_GB2312" w:cs="仿宋_GB2312"/>
          <w:b w:val="0"/>
          <w:i w:val="0"/>
          <w:caps w:val="0"/>
          <w:color w:val="000000"/>
          <w:spacing w:val="0"/>
          <w:sz w:val="32"/>
          <w:szCs w:val="32"/>
          <w:shd w:val="clear" w:fill="FFFFFF"/>
          <w:lang w:eastAsia="zh-CN"/>
        </w:rPr>
        <w:t>综合处</w:t>
      </w:r>
      <w:r>
        <w:rPr>
          <w:rFonts w:hint="eastAsia" w:ascii="仿宋_GB2312" w:hAnsi="仿宋_GB2312" w:eastAsia="仿宋_GB2312" w:cs="仿宋_GB2312"/>
          <w:b w:val="0"/>
          <w:i w:val="0"/>
          <w:caps w:val="0"/>
          <w:color w:val="000000"/>
          <w:spacing w:val="0"/>
          <w:sz w:val="32"/>
          <w:szCs w:val="32"/>
          <w:shd w:val="clear" w:fill="FFFFFF"/>
        </w:rPr>
        <w:t>的协调配合，实现“新闻媒体、局官网、两微一端”同步宣传。</w:t>
      </w:r>
      <w:r>
        <w:rPr>
          <w:rFonts w:hint="eastAsia" w:ascii="楷体_GB2312" w:hAnsi="楷体_GB2312" w:eastAsia="楷体_GB2312" w:cs="楷体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lang w:eastAsia="zh-CN"/>
        </w:rPr>
        <w:t>综合处牵头、规划建设处、产业发展处、交易博览中心、联合会秘书处配合</w:t>
      </w:r>
      <w:r>
        <w:rPr>
          <w:rFonts w:hint="eastAsia" w:ascii="楷体_GB2312" w:hAnsi="楷体_GB2312" w:eastAsia="楷体_GB2312" w:cs="楷体_GB2312"/>
          <w:b w:val="0"/>
          <w:i w:val="0"/>
          <w:caps w:val="0"/>
          <w:color w:val="000000"/>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37"/>
        <w:jc w:val="both"/>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（二）加快构建新媒体平台。</w:t>
      </w:r>
      <w:r>
        <w:rPr>
          <w:rFonts w:hint="eastAsia" w:ascii="仿宋_GB2312" w:hAnsi="仿宋_GB2312" w:eastAsia="仿宋_GB2312" w:cs="仿宋_GB2312"/>
          <w:b w:val="0"/>
          <w:i w:val="0"/>
          <w:caps w:val="0"/>
          <w:color w:val="000000"/>
          <w:spacing w:val="0"/>
          <w:sz w:val="32"/>
          <w:szCs w:val="32"/>
          <w:shd w:val="clear" w:fill="FFFFFF"/>
        </w:rPr>
        <w:t>把握媒体发展趋势和传播规律，加强政务“两微一端”等新媒体平台建设和管理，严格信息采集、审核、发布等程序，落实专人管理、运营和维护，确保运转有序、安全可控。要发挥政务新媒体传播速度快、受众面广、互动性强的优势，创新方式方法，加大政府权威信息新媒体发布力度，提高便民服务信息推送比例，扩大信息传播，开展在线服务，增强用户体验</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楷体_GB2312" w:hAnsi="楷体_GB2312" w:eastAsia="楷体_GB2312" w:cs="楷体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lang w:eastAsia="zh-CN"/>
        </w:rPr>
        <w:t>综合处负责落实</w:t>
      </w:r>
      <w:r>
        <w:rPr>
          <w:rFonts w:hint="eastAsia" w:ascii="楷体_GB2312" w:hAnsi="楷体_GB2312" w:eastAsia="楷体_GB2312" w:cs="楷体_GB2312"/>
          <w:b w:val="0"/>
          <w:i w:val="0"/>
          <w:caps w:val="0"/>
          <w:color w:val="000000"/>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w:t>
      </w:r>
      <w:r>
        <w:rPr>
          <w:rFonts w:hint="eastAsia" w:ascii="楷体_GB2312" w:hAnsi="楷体_GB2312" w:eastAsia="楷体_GB2312" w:cs="楷体_GB2312"/>
          <w:b/>
          <w:bCs/>
          <w:i w:val="0"/>
          <w:caps w:val="0"/>
          <w:color w:val="000000"/>
          <w:spacing w:val="0"/>
          <w:sz w:val="32"/>
          <w:szCs w:val="32"/>
          <w:shd w:val="clear" w:fill="FFFFFF"/>
          <w:lang w:eastAsia="zh-CN"/>
        </w:rPr>
        <w:t>三</w:t>
      </w:r>
      <w:r>
        <w:rPr>
          <w:rFonts w:hint="eastAsia" w:ascii="楷体_GB2312" w:hAnsi="楷体_GB2312" w:eastAsia="楷体_GB2312" w:cs="楷体_GB2312"/>
          <w:b/>
          <w:bCs/>
          <w:i w:val="0"/>
          <w:caps w:val="0"/>
          <w:color w:val="000000"/>
          <w:spacing w:val="0"/>
          <w:sz w:val="32"/>
          <w:szCs w:val="32"/>
          <w:shd w:val="clear" w:fill="FFFFFF"/>
        </w:rPr>
        <w:t>）充分发挥新闻媒体作用。</w:t>
      </w:r>
      <w:r>
        <w:rPr>
          <w:rFonts w:hint="eastAsia" w:ascii="仿宋_GB2312" w:hAnsi="仿宋_GB2312" w:eastAsia="仿宋_GB2312" w:cs="仿宋_GB2312"/>
          <w:b w:val="0"/>
          <w:i w:val="0"/>
          <w:caps w:val="0"/>
          <w:color w:val="000000"/>
          <w:spacing w:val="0"/>
          <w:sz w:val="32"/>
          <w:szCs w:val="32"/>
          <w:shd w:val="clear" w:fill="FFFFFF"/>
        </w:rPr>
        <w:t>要在立足政府网站、政务“两微一端”等政务公开自有平台的基础上，加强与自治区党委宣传、网信等部门以及新闻媒体的沟通联系，充分运用新闻媒体资源做好政务公开工作。要通过主动向媒体提供素材，召开新闻发布会和媒体通气会，主动安排各级主流媒体及其新媒体负责人列席有关会议，推荐掌握相关政策、熟悉相关领域业务的行政领导、专家学者接受媒体访谈等形式，畅通媒体采访渠道，更好地发挥新闻媒体的公开平台作用，扩大政务公开的覆盖面和影响力</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楷体_GB2312" w:hAnsi="楷体_GB2312" w:eastAsia="楷体_GB2312" w:cs="楷体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lang w:eastAsia="zh-CN"/>
        </w:rPr>
        <w:t>综合处负责落实</w:t>
      </w:r>
      <w:r>
        <w:rPr>
          <w:rFonts w:hint="eastAsia" w:ascii="楷体_GB2312" w:hAnsi="楷体_GB2312" w:eastAsia="楷体_GB2312" w:cs="楷体_GB2312"/>
          <w:b w:val="0"/>
          <w:i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七、加快健全制度规范，着力夯实工作基础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（一）加强组织领导。</w:t>
      </w:r>
      <w:r>
        <w:rPr>
          <w:rFonts w:hint="eastAsia" w:ascii="仿宋_GB2312" w:hAnsi="仿宋_GB2312" w:eastAsia="仿宋_GB2312" w:cs="仿宋_GB2312"/>
          <w:b w:val="0"/>
          <w:i w:val="0"/>
          <w:caps w:val="0"/>
          <w:color w:val="000000"/>
          <w:spacing w:val="0"/>
          <w:sz w:val="32"/>
          <w:szCs w:val="32"/>
          <w:shd w:val="clear" w:fill="FFFFFF"/>
        </w:rPr>
        <w:t>为切实做好政务公开工作，</w:t>
      </w:r>
      <w:r>
        <w:rPr>
          <w:rFonts w:hint="eastAsia" w:ascii="仿宋_GB2312" w:hAnsi="仿宋_GB2312" w:eastAsia="仿宋_GB2312" w:cs="仿宋_GB2312"/>
          <w:b w:val="0"/>
          <w:i w:val="0"/>
          <w:caps w:val="0"/>
          <w:color w:val="000000"/>
          <w:spacing w:val="0"/>
          <w:sz w:val="32"/>
          <w:szCs w:val="32"/>
          <w:shd w:val="clear" w:fill="FFFFFF"/>
          <w:lang w:eastAsia="zh-CN"/>
        </w:rPr>
        <w:t>成立以管委会办公室主任为组长、副主任为副组长、各处、交易博览中心、联合会秘书处负责人为成员的</w:t>
      </w:r>
      <w:r>
        <w:rPr>
          <w:rFonts w:hint="eastAsia" w:ascii="仿宋_GB2312" w:hAnsi="仿宋_GB2312" w:eastAsia="仿宋_GB2312" w:cs="仿宋_GB2312"/>
          <w:b w:val="0"/>
          <w:i w:val="0"/>
          <w:caps w:val="0"/>
          <w:color w:val="000000"/>
          <w:spacing w:val="0"/>
          <w:sz w:val="32"/>
          <w:szCs w:val="32"/>
          <w:shd w:val="clear" w:fill="FFFFFF"/>
        </w:rPr>
        <w:t>政务公开工作领导小组，负责政务公开的全面工作，统筹协调政务公开过程中的重大事项。领导小组下设办公室，设在</w:t>
      </w:r>
      <w:r>
        <w:rPr>
          <w:rFonts w:hint="eastAsia" w:ascii="仿宋_GB2312" w:hAnsi="仿宋_GB2312" w:eastAsia="仿宋_GB2312" w:cs="仿宋_GB2312"/>
          <w:b w:val="0"/>
          <w:i w:val="0"/>
          <w:caps w:val="0"/>
          <w:color w:val="000000"/>
          <w:spacing w:val="0"/>
          <w:sz w:val="32"/>
          <w:szCs w:val="32"/>
          <w:shd w:val="clear" w:fill="FFFFFF"/>
          <w:lang w:eastAsia="zh-CN"/>
        </w:rPr>
        <w:t>综合处，</w:t>
      </w:r>
      <w:r>
        <w:rPr>
          <w:rFonts w:hint="eastAsia" w:ascii="仿宋_GB2312" w:hAnsi="仿宋_GB2312" w:eastAsia="仿宋_GB2312" w:cs="仿宋_GB2312"/>
          <w:b w:val="0"/>
          <w:i w:val="0"/>
          <w:caps w:val="0"/>
          <w:color w:val="000000"/>
          <w:spacing w:val="0"/>
          <w:sz w:val="32"/>
          <w:szCs w:val="32"/>
          <w:shd w:val="clear" w:fill="FFFFFF"/>
        </w:rPr>
        <w:t>承担政务公开的日常工作,</w:t>
      </w:r>
      <w:r>
        <w:rPr>
          <w:rFonts w:hint="eastAsia" w:ascii="仿宋_GB2312" w:hAnsi="仿宋_GB2312" w:eastAsia="仿宋_GB2312" w:cs="仿宋_GB2312"/>
          <w:b w:val="0"/>
          <w:i w:val="0"/>
          <w:caps w:val="0"/>
          <w:color w:val="000000"/>
          <w:spacing w:val="0"/>
          <w:sz w:val="32"/>
          <w:szCs w:val="32"/>
          <w:shd w:val="clear" w:fill="FFFFFF"/>
        </w:rPr>
        <w:t> 负责组织协调、指导推进、监督检查政务公开工作。领导小组</w:t>
      </w:r>
      <w:r>
        <w:rPr>
          <w:rFonts w:hint="eastAsia" w:ascii="仿宋_GB2312" w:hAnsi="仿宋_GB2312" w:eastAsia="仿宋_GB2312" w:cs="仿宋_GB2312"/>
          <w:spacing w:val="0"/>
          <w:sz w:val="32"/>
          <w:szCs w:val="32"/>
          <w:lang w:val="en-US" w:eastAsia="zh-CN"/>
        </w:rPr>
        <w:t>组长年内至少听取1次政务公开工作汇报，研究部署有关工作。</w:t>
      </w:r>
      <w:r>
        <w:rPr>
          <w:rFonts w:hint="eastAsia" w:ascii="楷体_GB2312" w:hAnsi="楷体_GB2312" w:eastAsia="楷体_GB2312" w:cs="楷体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lang w:eastAsia="zh-CN"/>
        </w:rPr>
        <w:t>综合处负责落实</w:t>
      </w:r>
      <w:r>
        <w:rPr>
          <w:rFonts w:hint="eastAsia" w:ascii="楷体_GB2312" w:hAnsi="楷体_GB2312" w:eastAsia="楷体_GB2312" w:cs="楷体_GB2312"/>
          <w:b w:val="0"/>
          <w:i w:val="0"/>
          <w:caps w:val="0"/>
          <w:color w:val="000000"/>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（二）</w:t>
      </w:r>
      <w:r>
        <w:rPr>
          <w:rFonts w:hint="eastAsia" w:ascii="楷体_GB2312" w:hAnsi="楷体_GB2312" w:eastAsia="楷体_GB2312" w:cs="楷体_GB2312"/>
          <w:b/>
          <w:bCs/>
          <w:i w:val="0"/>
          <w:caps w:val="0"/>
          <w:color w:val="000000"/>
          <w:spacing w:val="0"/>
          <w:sz w:val="32"/>
          <w:szCs w:val="32"/>
          <w:shd w:val="clear" w:fill="FFFFFF"/>
          <w:lang w:eastAsia="zh-CN"/>
        </w:rPr>
        <w:t>加强学习</w:t>
      </w:r>
      <w:r>
        <w:rPr>
          <w:rFonts w:hint="eastAsia" w:ascii="楷体_GB2312" w:hAnsi="楷体_GB2312" w:eastAsia="楷体_GB2312" w:cs="楷体_GB2312"/>
          <w:b/>
          <w:bCs/>
          <w:i w:val="0"/>
          <w:caps w:val="0"/>
          <w:color w:val="000000"/>
          <w:spacing w:val="0"/>
          <w:sz w:val="32"/>
          <w:szCs w:val="32"/>
          <w:shd w:val="clear" w:fill="FFFFFF"/>
        </w:rPr>
        <w:t>培训。</w:t>
      </w:r>
      <w:r>
        <w:rPr>
          <w:rFonts w:hint="eastAsia" w:ascii="仿宋_GB2312" w:hAnsi="仿宋_GB2312" w:eastAsia="仿宋_GB2312" w:cs="仿宋_GB2312"/>
          <w:b w:val="0"/>
          <w:i w:val="0"/>
          <w:caps w:val="0"/>
          <w:color w:val="000000"/>
          <w:spacing w:val="0"/>
          <w:sz w:val="32"/>
          <w:szCs w:val="32"/>
          <w:shd w:val="clear" w:fill="FFFFFF"/>
        </w:rPr>
        <w:t>采用请进来和走出去的培训方式</w:t>
      </w:r>
      <w:r>
        <w:rPr>
          <w:rFonts w:hint="eastAsia" w:ascii="仿宋_GB2312" w:hAnsi="仿宋_GB2312" w:eastAsia="仿宋_GB2312" w:cs="仿宋_GB2312"/>
          <w:b w:val="0"/>
          <w:i w:val="0"/>
          <w:caps w:val="0"/>
          <w:color w:val="000000"/>
          <w:spacing w:val="0"/>
          <w:sz w:val="32"/>
          <w:szCs w:val="32"/>
          <w:shd w:val="clear" w:fill="FFFFFF"/>
          <w:lang w:eastAsia="zh-CN"/>
        </w:rPr>
        <w:t>，</w:t>
      </w:r>
      <w:r>
        <w:rPr>
          <w:rFonts w:hint="eastAsia" w:ascii="仿宋_GB2312" w:hAnsi="仿宋_GB2312" w:eastAsia="仿宋_GB2312" w:cs="仿宋_GB2312"/>
          <w:b w:val="0"/>
          <w:i w:val="0"/>
          <w:caps w:val="0"/>
          <w:color w:val="000000"/>
          <w:spacing w:val="0"/>
          <w:sz w:val="32"/>
          <w:szCs w:val="32"/>
          <w:shd w:val="clear" w:fill="FFFFFF"/>
        </w:rPr>
        <w:t>加大对政务公开工作人员的培训。积极参加自治区人民政府办公厅组织的有关培训，加强与同级政府部门的沟通联系。邀请有关人员授课</w:t>
      </w:r>
      <w:r>
        <w:rPr>
          <w:rFonts w:hint="eastAsia" w:ascii="仿宋_GB2312" w:hAnsi="仿宋_GB2312" w:eastAsia="仿宋_GB2312" w:cs="仿宋_GB2312"/>
          <w:b w:val="0"/>
          <w:i w:val="0"/>
          <w:caps w:val="0"/>
          <w:color w:val="000000"/>
          <w:spacing w:val="0"/>
          <w:sz w:val="32"/>
          <w:szCs w:val="32"/>
          <w:shd w:val="clear" w:fill="FFFFFF"/>
          <w:lang w:eastAsia="zh-CN"/>
        </w:rPr>
        <w:t>，对全体人员进行培训</w:t>
      </w:r>
      <w:r>
        <w:rPr>
          <w:rFonts w:hint="eastAsia" w:ascii="仿宋_GB2312" w:hAnsi="仿宋_GB2312" w:eastAsia="仿宋_GB2312" w:cs="仿宋_GB2312"/>
          <w:b w:val="0"/>
          <w:i w:val="0"/>
          <w:caps w:val="0"/>
          <w:color w:val="000000"/>
          <w:spacing w:val="0"/>
          <w:sz w:val="32"/>
          <w:szCs w:val="32"/>
          <w:shd w:val="clear" w:fill="FFFFFF"/>
        </w:rPr>
        <w:t>，增强专业</w:t>
      </w:r>
      <w:r>
        <w:rPr>
          <w:rFonts w:hint="eastAsia" w:ascii="仿宋_GB2312" w:hAnsi="仿宋_GB2312" w:eastAsia="仿宋_GB2312" w:cs="仿宋_GB2312"/>
          <w:b w:val="0"/>
          <w:i w:val="0"/>
          <w:caps w:val="0"/>
          <w:color w:val="000000"/>
          <w:spacing w:val="0"/>
          <w:sz w:val="32"/>
          <w:szCs w:val="32"/>
          <w:shd w:val="clear" w:fill="FFFFFF"/>
          <w:lang w:eastAsia="zh-CN"/>
        </w:rPr>
        <w:t>能力，提高综合素养</w:t>
      </w:r>
      <w:r>
        <w:rPr>
          <w:rFonts w:hint="eastAsia" w:ascii="仿宋_GB2312" w:hAnsi="仿宋_GB2312" w:eastAsia="仿宋_GB2312" w:cs="仿宋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rPr>
        <w:t>（</w:t>
      </w:r>
      <w:r>
        <w:rPr>
          <w:rFonts w:hint="eastAsia" w:ascii="楷体_GB2312" w:hAnsi="楷体_GB2312" w:eastAsia="楷体_GB2312" w:cs="楷体_GB2312"/>
          <w:b w:val="0"/>
          <w:i w:val="0"/>
          <w:caps w:val="0"/>
          <w:color w:val="000000"/>
          <w:spacing w:val="0"/>
          <w:sz w:val="32"/>
          <w:szCs w:val="32"/>
          <w:shd w:val="clear" w:fill="FFFFFF"/>
          <w:lang w:eastAsia="zh-CN"/>
        </w:rPr>
        <w:t>综合处负责落实</w:t>
      </w:r>
      <w:r>
        <w:rPr>
          <w:rFonts w:hint="eastAsia" w:ascii="楷体_GB2312" w:hAnsi="楷体_GB2312" w:eastAsia="楷体_GB2312" w:cs="楷体_GB2312"/>
          <w:b w:val="0"/>
          <w:i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（三）深入宣传普及和贯彻落实政府信息公开条例。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spacing w:val="0"/>
          <w:sz w:val="32"/>
          <w:szCs w:val="32"/>
          <w:lang w:val="en-US" w:eastAsia="zh-CN"/>
        </w:rPr>
        <w:t>1.严格落实新修订的《中华人民共和国政府信息公开条例》(以下简称条例)，对照新条例要求，调整完善相关配套措施，全面梳理应当主动公开的信息，未公开的要及时向社会公开。</w:t>
      </w:r>
      <w:r>
        <w:rPr>
          <w:rFonts w:hint="eastAsia" w:ascii="楷体_GB2312" w:hAnsi="楷体_GB2312" w:eastAsia="楷体_GB2312" w:cs="楷体_GB2312"/>
          <w:b w:val="0"/>
          <w:bCs w:val="0"/>
          <w:i w:val="0"/>
          <w:caps w:val="0"/>
          <w:color w:val="000000"/>
          <w:spacing w:val="0"/>
          <w:sz w:val="32"/>
          <w:szCs w:val="32"/>
          <w:shd w:val="clear" w:fill="FFFFFF"/>
          <w:lang w:eastAsia="zh-CN"/>
        </w:rPr>
        <w:t>（综合处牵头、规划建设处、产业发展处、交易博览中心、联合会秘书处配合）</w:t>
      </w: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spacing w:val="0"/>
          <w:sz w:val="32"/>
          <w:szCs w:val="32"/>
          <w:lang w:val="en-US" w:eastAsia="zh-CN"/>
        </w:rPr>
        <w:t>2.结合条例实施10周年和新修订条例的出台，组织开展形式多样的宣传普及活动，营造全社会充分知情、有序参与、全面监督的良好氛围。</w:t>
      </w:r>
      <w:r>
        <w:rPr>
          <w:rFonts w:hint="eastAsia" w:ascii="楷体_GB2312" w:hAnsi="楷体_GB2312" w:eastAsia="楷体_GB2312" w:cs="楷体_GB2312"/>
          <w:b w:val="0"/>
          <w:bCs w:val="0"/>
          <w:i w:val="0"/>
          <w:caps w:val="0"/>
          <w:color w:val="000000"/>
          <w:spacing w:val="0"/>
          <w:sz w:val="32"/>
          <w:szCs w:val="32"/>
          <w:shd w:val="clear" w:fill="FFFFFF"/>
          <w:lang w:eastAsia="zh-CN"/>
        </w:rPr>
        <w:t>（各处、交易博览中心、联合会秘书处负责落实）</w:t>
      </w: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楷体_GB2312" w:hAnsi="楷体_GB2312" w:eastAsia="楷体_GB2312" w:cs="楷体_GB2312"/>
          <w:b/>
          <w:bCs/>
          <w:spacing w:val="0"/>
          <w:sz w:val="32"/>
          <w:szCs w:val="32"/>
          <w:lang w:val="en-US" w:eastAsia="zh-CN"/>
        </w:rPr>
        <w:t>（四）加强信息公开审查工作。</w:t>
      </w:r>
      <w:r>
        <w:rPr>
          <w:rFonts w:hint="eastAsia" w:ascii="仿宋_GB2312" w:hAnsi="仿宋_GB2312" w:eastAsia="仿宋_GB2312" w:cs="仿宋_GB2312"/>
          <w:spacing w:val="0"/>
          <w:sz w:val="32"/>
          <w:szCs w:val="32"/>
          <w:lang w:val="en-US" w:eastAsia="zh-CN"/>
        </w:rPr>
        <w:t>认真贯彻落实《自治区党委办公厅人民政府办公厅关于严格机关、单位互联网网站和政务新媒体信息发布管理有关事项的通知》(宁党厅字〔2018〕12号)要求，依法依规严格做好政府信息公开前的审查工作。特别要做好对公开内容表述、公开时机、公开方式的研判，避免发生信息发布失信、影响社会稳定等问题。依法保护好公民个人隐私，除惩戒公示、强制性信息披露外，对于其他涉及个人隐私的信息，公开时要去标识化处理，选择恰当的方式和范围。</w:t>
      </w:r>
      <w:r>
        <w:rPr>
          <w:rFonts w:hint="eastAsia" w:ascii="楷体_GB2312" w:hAnsi="楷体_GB2312" w:eastAsia="楷体_GB2312" w:cs="楷体_GB2312"/>
          <w:b w:val="0"/>
          <w:bCs w:val="0"/>
          <w:i w:val="0"/>
          <w:caps w:val="0"/>
          <w:color w:val="000000"/>
          <w:spacing w:val="0"/>
          <w:sz w:val="32"/>
          <w:szCs w:val="32"/>
          <w:shd w:val="clear" w:fill="FFFFFF"/>
          <w:lang w:eastAsia="zh-CN"/>
        </w:rPr>
        <w:t>（各处、交易博览中心、联合会秘书处负责落实）</w:t>
      </w: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楷体_GB2312" w:hAnsi="楷体_GB2312" w:eastAsia="楷体_GB2312" w:cs="楷体_GB2312"/>
          <w:b/>
          <w:bCs/>
          <w:spacing w:val="0"/>
          <w:sz w:val="32"/>
          <w:szCs w:val="32"/>
          <w:lang w:val="en-US" w:eastAsia="zh-CN"/>
        </w:rPr>
        <w:t>（五）完善主动公开基本目录。</w:t>
      </w:r>
      <w:r>
        <w:rPr>
          <w:rFonts w:hint="eastAsia" w:ascii="仿宋_GB2312" w:hAnsi="仿宋_GB2312" w:eastAsia="仿宋_GB2312" w:cs="仿宋_GB2312"/>
          <w:spacing w:val="0"/>
          <w:sz w:val="32"/>
          <w:szCs w:val="32"/>
          <w:lang w:val="en-US" w:eastAsia="zh-CN"/>
        </w:rPr>
        <w:t>对照新条例要求，</w:t>
      </w:r>
      <w:r>
        <w:rPr>
          <w:rFonts w:hint="eastAsia" w:ascii="仿宋_GB2312" w:hAnsi="宋体" w:eastAsia="仿宋_GB2312" w:cs="宋体"/>
          <w:spacing w:val="0"/>
          <w:kern w:val="0"/>
          <w:sz w:val="32"/>
          <w:szCs w:val="32"/>
          <w:lang w:val="en-US" w:eastAsia="zh-CN" w:bidi="ar-SA"/>
        </w:rPr>
        <w:t>适时调整更新目录并向社会公开，</w:t>
      </w:r>
      <w:r>
        <w:rPr>
          <w:rFonts w:hint="eastAsia" w:ascii="仿宋_GB2312" w:hAnsi="仿宋_GB2312" w:eastAsia="仿宋_GB2312" w:cs="仿宋_GB2312"/>
          <w:spacing w:val="0"/>
          <w:sz w:val="32"/>
          <w:szCs w:val="32"/>
          <w:lang w:val="en-US" w:eastAsia="zh-CN"/>
        </w:rPr>
        <w:t>2018年11月底前编制完成，并统一对外发布管委会办公室及各处、相关单位所有目录，</w:t>
      </w:r>
      <w:r>
        <w:rPr>
          <w:rFonts w:hint="eastAsia" w:ascii="仿宋_GB2312" w:hAnsi="宋体" w:eastAsia="仿宋_GB2312" w:cs="宋体"/>
          <w:spacing w:val="0"/>
          <w:kern w:val="0"/>
          <w:sz w:val="32"/>
          <w:szCs w:val="32"/>
          <w:lang w:val="en-US" w:eastAsia="zh-CN" w:bidi="ar-SA"/>
        </w:rPr>
        <w:t>不断提升主动公开的标准化、规范化水平，接受群众监督。</w:t>
      </w: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（综合处牵头、规划建设处、产业发展处、交易博览中心、联合会秘书处配合）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楷体_GB2312" w:hAnsi="楷体_GB2312" w:eastAsia="楷体_GB2312" w:cs="楷体_GB2312"/>
          <w:b/>
          <w:bCs/>
          <w:spacing w:val="0"/>
          <w:sz w:val="32"/>
          <w:szCs w:val="32"/>
          <w:lang w:val="en-US" w:eastAsia="zh-CN"/>
        </w:rPr>
        <w:t>(六)建立健全信息公开制度。</w:t>
      </w:r>
      <w:r>
        <w:rPr>
          <w:rFonts w:hint="eastAsia" w:ascii="仿宋_GB2312" w:hAnsi="仿宋_GB2312" w:eastAsia="仿宋_GB2312" w:cs="仿宋_GB2312"/>
          <w:spacing w:val="0"/>
          <w:sz w:val="32"/>
          <w:szCs w:val="32"/>
          <w:lang w:val="en-US" w:eastAsia="zh-CN"/>
        </w:rPr>
        <w:t>2018年11月底前制定完善单位信息公开制度，并报自治区人民政府办公厅(政务公开办公室)备案。</w:t>
      </w: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（综合处牵头、规划建设处、产业发展处、交易博览中心、联合会秘书处配合）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val="en-US" w:eastAsia="zh-CN"/>
        </w:rPr>
      </w:pPr>
      <w:r>
        <w:rPr>
          <w:rFonts w:hint="eastAsia" w:ascii="楷体_GB2312" w:hAnsi="楷体_GB2312" w:eastAsia="楷体_GB2312" w:cs="楷体_GB2312"/>
          <w:b/>
          <w:bCs/>
          <w:i w:val="0"/>
          <w:caps w:val="0"/>
          <w:color w:val="000000"/>
          <w:spacing w:val="0"/>
          <w:sz w:val="32"/>
          <w:szCs w:val="32"/>
          <w:shd w:val="clear" w:fill="FFFFFF"/>
          <w:lang w:eastAsia="zh-CN"/>
        </w:rPr>
        <w:t>（七）强化监督考核。</w:t>
      </w:r>
      <w:r>
        <w:rPr>
          <w:rFonts w:hint="eastAsia" w:ascii="仿宋_GB2312" w:hAnsi="仿宋_GB2312" w:eastAsia="仿宋_GB2312" w:cs="仿宋_GB2312"/>
          <w:b w:val="0"/>
          <w:i w:val="0"/>
          <w:caps w:val="0"/>
          <w:color w:val="000000"/>
          <w:spacing w:val="0"/>
          <w:sz w:val="32"/>
          <w:szCs w:val="32"/>
          <w:shd w:val="clear" w:fill="FFFFFF"/>
        </w:rPr>
        <w:t>将</w:t>
      </w:r>
      <w:r>
        <w:rPr>
          <w:rFonts w:hint="eastAsia" w:ascii="仿宋_GB2312" w:hAnsi="仿宋_GB2312" w:eastAsia="仿宋_GB2312" w:cs="仿宋_GB2312"/>
          <w:spacing w:val="0"/>
          <w:sz w:val="32"/>
          <w:szCs w:val="32"/>
          <w:lang w:val="en-US" w:eastAsia="zh-CN"/>
        </w:rPr>
        <w:t>信息发布、政策解读、政务舆情回应、公开平台建设管理和制度规范建设等</w:t>
      </w:r>
      <w:r>
        <w:rPr>
          <w:rFonts w:hint="eastAsia" w:ascii="仿宋_GB2312" w:hAnsi="仿宋_GB2312" w:eastAsia="仿宋_GB2312" w:cs="仿宋_GB2312"/>
          <w:b w:val="0"/>
          <w:i w:val="0"/>
          <w:caps w:val="0"/>
          <w:color w:val="000000"/>
          <w:spacing w:val="0"/>
          <w:sz w:val="32"/>
          <w:szCs w:val="32"/>
          <w:shd w:val="clear" w:fill="FFFFFF"/>
        </w:rPr>
        <w:t>作为政务公开重点列入各处室绩效考核体系，政务公开工作分值权重不得低于4％。实行政务公开问责机制，对公开工作落实不力及违反政务公开有关规定、不履行公开义务或公开不应当公开事项的，追究相关责任；对</w:t>
      </w:r>
      <w:r>
        <w:rPr>
          <w:rFonts w:hint="eastAsia" w:ascii="仿宋_GB2312" w:hAnsi="仿宋_GB2312" w:eastAsia="仿宋_GB2312" w:cs="仿宋_GB2312"/>
          <w:b w:val="0"/>
          <w:i w:val="0"/>
          <w:caps w:val="0"/>
          <w:color w:val="000000"/>
          <w:spacing w:val="0"/>
          <w:sz w:val="32"/>
          <w:szCs w:val="32"/>
          <w:shd w:val="clear" w:fill="FFFFFF"/>
          <w:lang w:eastAsia="zh-CN"/>
        </w:rPr>
        <w:t>工作开展好、成效明显的</w:t>
      </w:r>
      <w:r>
        <w:rPr>
          <w:rFonts w:hint="eastAsia" w:ascii="仿宋_GB2312" w:hAnsi="仿宋_GB2312" w:eastAsia="仿宋_GB2312" w:cs="仿宋_GB2312"/>
          <w:b w:val="0"/>
          <w:i w:val="0"/>
          <w:caps w:val="0"/>
          <w:color w:val="000000"/>
          <w:spacing w:val="0"/>
          <w:sz w:val="32"/>
          <w:szCs w:val="32"/>
          <w:shd w:val="clear" w:fill="FFFFFF"/>
        </w:rPr>
        <w:t>处室，年终考核评优评先中予以优先考虑。</w:t>
      </w:r>
      <w:r>
        <w:rPr>
          <w:rFonts w:hint="eastAsia" w:ascii="楷体_GB2312" w:hAnsi="楷体_GB2312" w:eastAsia="楷体_GB2312" w:cs="楷体_GB2312"/>
          <w:b w:val="0"/>
          <w:bCs w:val="0"/>
          <w:i w:val="0"/>
          <w:caps w:val="0"/>
          <w:color w:val="000000"/>
          <w:spacing w:val="0"/>
          <w:kern w:val="2"/>
          <w:sz w:val="32"/>
          <w:szCs w:val="32"/>
          <w:shd w:val="clear" w:fill="FFFFFF"/>
          <w:lang w:val="en-US" w:eastAsia="zh-CN" w:bidi="ar-SA"/>
        </w:rPr>
        <w:t>（综合处负责落实）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val="0"/>
          <w:bCs w:val="0"/>
          <w:i w:val="0"/>
          <w:caps w:val="0"/>
          <w:color w:val="000000"/>
          <w:spacing w:val="0"/>
          <w:sz w:val="32"/>
          <w:szCs w:val="32"/>
          <w:shd w:val="clear" w:fill="FFFFFF"/>
          <w:lang w:eastAsia="zh-CN"/>
        </w:rPr>
      </w:pPr>
      <w:r>
        <w:rPr>
          <w:rFonts w:hint="eastAsia" w:ascii="楷体_GB2312" w:hAnsi="楷体_GB2312" w:eastAsia="楷体_GB2312" w:cs="楷体_GB2312"/>
          <w:b w:val="0"/>
          <w:bCs w:val="0"/>
          <w:i w:val="0"/>
          <w:caps w:val="0"/>
          <w:color w:val="000000"/>
          <w:spacing w:val="0"/>
          <w:sz w:val="32"/>
          <w:szCs w:val="32"/>
          <w:shd w:val="clear" w:fill="FFFFFF"/>
          <w:lang w:val="en-US" w:eastAsia="zh-CN"/>
        </w:rPr>
        <w:t xml:space="preserve">   </w:t>
      </w:r>
    </w:p>
    <w:sectPr>
      <w:headerReference r:id="rId3" w:type="default"/>
      <w:footerReference r:id="rId5" w:type="default"/>
      <w:headerReference r:id="rId4" w:type="even"/>
      <w:footerReference r:id="rId6" w:type="even"/>
      <w:pgSz w:w="11906" w:h="16838"/>
      <w:pgMar w:top="2098" w:right="1474" w:bottom="1984" w:left="1587" w:header="1984" w:footer="1417"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隶书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方正超粗黑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FZLanTingHeiS-EL-GB">
    <w:altName w:val="黑体"/>
    <w:panose1 w:val="00000000000000000000"/>
    <w:charset w:val="02"/>
    <w:family w:val="swiss"/>
    <w:pitch w:val="default"/>
    <w:sig w:usb0="00000000" w:usb1="00000000" w:usb2="00000000" w:usb3="00000000" w:csb0="80000000" w:csb1="00000000"/>
  </w:font>
  <w:font w:name="Trajan Pro 3">
    <w:altName w:val="黑体"/>
    <w:panose1 w:val="00000000000000000000"/>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STXihei">
    <w:altName w:val="Times New Roman"/>
    <w:panose1 w:val="00000000000000000000"/>
    <w:charset w:val="00"/>
    <w:family w:val="roma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_4eff_5b8b_GB2312">
    <w:altName w:val="微软雅黑"/>
    <w:panose1 w:val="00000000000000000000"/>
    <w:charset w:val="00"/>
    <w:family w:val="roman"/>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等线">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DLF-3-0-1783629332+ZCCCXH-215">
    <w:altName w:val="Times New Roman"/>
    <w:panose1 w:val="00000000000000000000"/>
    <w:charset w:val="00"/>
    <w:family w:val="roman"/>
    <w:pitch w:val="default"/>
    <w:sig w:usb0="00000000" w:usb1="00000000" w:usb2="00000000" w:usb3="00000000" w:csb0="00000000" w:csb1="00000000"/>
  </w:font>
  <w:font w:name="DLF-3-0-1914968947+ZCCCXG-210">
    <w:altName w:val="Times New Roman"/>
    <w:panose1 w:val="00000000000000000000"/>
    <w:charset w:val="00"/>
    <w:family w:val="roman"/>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Kaiti SC Regular">
    <w:altName w:val="楷体_GB2312"/>
    <w:panose1 w:val="02010600040101010101"/>
    <w:charset w:val="50"/>
    <w:family w:val="auto"/>
    <w:pitch w:val="default"/>
    <w:sig w:usb0="00000000" w:usb1="00000000" w:usb2="00000010" w:usb3="00000000" w:csb0="0004009F" w:csb1="00000000"/>
  </w:font>
  <w:font w:name="楷体_GB2312">
    <w:panose1 w:val="02010609030101010101"/>
    <w:charset w:val="50"/>
    <w:family w:val="auto"/>
    <w:pitch w:val="default"/>
    <w:sig w:usb0="00000001" w:usb1="080E0000" w:usb2="00000000" w:usb3="00000000" w:csb0="00040000" w:csb1="00000000"/>
  </w:font>
  <w:font w:name="Kaiti SC Regular">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50"/>
    <w:family w:val="auto"/>
    <w:pitch w:val="default"/>
    <w:sig w:usb0="00000000" w:usb1="00000000" w:usb2="00000000" w:usb3="00000000" w:csb0="0004009F" w:csb1="DFD70000"/>
  </w:font>
  <w:font w:name="方正兰亭纤黑简体">
    <w:altName w:val="黑体"/>
    <w:panose1 w:val="02000000000000000000"/>
    <w:charset w:val="02"/>
    <w:family w:val="swiss"/>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_GBK">
    <w:altName w:val="楷体_GB2312"/>
    <w:panose1 w:val="03000509000000000000"/>
    <w:charset w:val="86"/>
    <w:family w:val="auto"/>
    <w:pitch w:val="default"/>
    <w:sig w:usb0="00000000" w:usb1="00000000" w:usb2="00000000" w:usb3="00000000" w:csb0="00040000" w:csb1="00000000"/>
  </w:font>
  <w:font w:name="文鼎行楷碑体">
    <w:altName w:val="楷体_GB2312"/>
    <w:panose1 w:val="020B060201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裇">
    <w:altName w:val="Verdana"/>
    <w:panose1 w:val="02010600030101010101"/>
    <w:charset w:val="02"/>
    <w:family w:val="swiss"/>
    <w:pitch w:val="default"/>
    <w:sig w:usb0="00000000" w:usb1="00000000" w:usb2="00000000" w:usb3="00000000" w:csb0="00040001" w:csb1="00000000"/>
  </w:font>
  <w:font w:name="Verdana">
    <w:panose1 w:val="020B0604030504040204"/>
    <w:charset w:val="02"/>
    <w:family w:val="swiss"/>
    <w:pitch w:val="default"/>
    <w:sig w:usb0="A10006FF" w:usb1="4000205B" w:usb2="00000010" w:usb3="00000000" w:csb0="2000019F" w:csb1="00000000"/>
  </w:font>
  <w:font w:name="MS PGothic">
    <w:panose1 w:val="020B0600070205080204"/>
    <w:charset w:val="80"/>
    <w:family w:val="auto"/>
    <w:pitch w:val="default"/>
    <w:sig w:usb0="E00002FF" w:usb1="6AC7FDFB" w:usb2="00000012" w:usb3="00000000" w:csb0="4002009F" w:csb1="DFD70000"/>
  </w:font>
  <w:font w:name="Malgun Gothic Semilight">
    <w:altName w:val="宋体"/>
    <w:panose1 w:val="020B0502040204020203"/>
    <w:charset w:val="86"/>
    <w:family w:val="swiss"/>
    <w:pitch w:val="default"/>
    <w:sig w:usb0="00000000" w:usb1="00000000" w:usb2="00000012" w:usb3="00000000" w:csb0="003E01BD"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_GB2312">
    <w:altName w:val="Times New Roman"/>
    <w:panose1 w:val="00000000000000000000"/>
    <w:charset w:val="00"/>
    <w:family w:val="auto"/>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001BF" w:csb1="0000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筩p褉S">
    <w:altName w:val="微软雅黑"/>
    <w:panose1 w:val="02000000000000000000"/>
    <w:charset w:val="02"/>
    <w:family w:val="swiss"/>
    <w:pitch w:val="default"/>
    <w:sig w:usb0="00000000" w:usb1="00000000" w:usb2="00000000"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兰亭纤黑简体">
    <w:altName w:val="黑体"/>
    <w:panose1 w:val="02000000000000000000"/>
    <w:charset w:val="86"/>
    <w:family w:val="auto"/>
    <w:pitch w:val="default"/>
    <w:sig w:usb0="00000000" w:usb1="00000000" w:usb2="00000000" w:usb3="00000000" w:csb0="00040000" w:csb1="00000000"/>
  </w:font>
  <w:font w:name="华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50"/>
    <w:family w:val="auto"/>
    <w:pitch w:val="default"/>
    <w:sig w:usb0="80000287" w:usb1="280F3C52"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FontAwesome">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Bell MT">
    <w:altName w:val="PMingLiU"/>
    <w:panose1 w:val="02020503060305020303"/>
    <w:charset w:val="00"/>
    <w:family w:val="roman"/>
    <w:pitch w:val="default"/>
    <w:sig w:usb0="00000000" w:usb1="00000000" w:usb2="00000000" w:usb3="00000000" w:csb0="00000001" w:csb1="00000000"/>
  </w:font>
  <w:font w:name="Segoe UI Symbol">
    <w:panose1 w:val="020B0502040204020203"/>
    <w:charset w:val="00"/>
    <w:family w:val="swiss"/>
    <w:pitch w:val="default"/>
    <w:sig w:usb0="8000006F" w:usb1="1200FBEF" w:usb2="0004C000" w:usb3="00000000" w:csb0="00000001" w:csb1="40000000"/>
  </w:font>
  <w:font w:name="Cambria Math">
    <w:panose1 w:val="02040503050406030204"/>
    <w:charset w:val="00"/>
    <w:family w:val="roman"/>
    <w:pitch w:val="default"/>
    <w:sig w:usb0="E00002FF" w:usb1="420024FF" w:usb2="00000000" w:usb3="00000000" w:csb0="2000019F" w:csb1="00000000"/>
  </w:font>
  <w:font w:name="黑体">
    <w:panose1 w:val="02010609060101010101"/>
    <w:charset w:val="7A"/>
    <w:family w:val="auto"/>
    <w:pitch w:val="default"/>
    <w:sig w:usb0="800002BF" w:usb1="38CF7CFA" w:usb2="00000016" w:usb3="00000000" w:csb0="00040001" w:csb1="00000000"/>
  </w:font>
  <w:font w:name="华文仿宋">
    <w:altName w:val="仿宋_GB2312"/>
    <w:panose1 w:val="00000000000000000000"/>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汉仪旗黑-55S">
    <w:altName w:val="黑体"/>
    <w:panose1 w:val="00020600040101010101"/>
    <w:charset w:val="86"/>
    <w:family w:val="auto"/>
    <w:pitch w:val="default"/>
    <w:sig w:usb0="00000000" w:usb1="00000000" w:usb2="00000016"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Baiduan Number">
    <w:altName w:val="Trebuchet MS"/>
    <w:panose1 w:val="020B0203020202020204"/>
    <w:charset w:val="00"/>
    <w:family w:val="auto"/>
    <w:pitch w:val="default"/>
    <w:sig w:usb0="00000000" w:usb1="00000000" w:usb2="00000000" w:usb3="00000000" w:csb0="2000009B"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华文黑体">
    <w:altName w:val="黑体"/>
    <w:panose1 w:val="02010600040101010101"/>
    <w:charset w:val="86"/>
    <w:family w:val="auto"/>
    <w:pitch w:val="default"/>
    <w:sig w:usb0="00000000" w:usb1="00000000" w:usb2="0002005F" w:usb3="00000000" w:csb0="001600DF" w:csb1="00000000"/>
  </w:font>
  <w:font w:name="Impact">
    <w:panose1 w:val="020B0806030902050204"/>
    <w:charset w:val="00"/>
    <w:family w:val="auto"/>
    <w:pitch w:val="default"/>
    <w:sig w:usb0="00000287" w:usb1="00000000" w:usb2="00000000" w:usb3="00000000" w:csb0="2000009F" w:csb1="DFD70000"/>
  </w:font>
  <w:font w:name="Roboto">
    <w:altName w:val="Lucida Console"/>
    <w:panose1 w:val="00000000000000000000"/>
    <w:charset w:val="00"/>
    <w:family w:val="auto"/>
    <w:pitch w:val="default"/>
    <w:sig w:usb0="00000000" w:usb1="00000000" w:usb2="00000020" w:usb3="00000000" w:csb0="2000019F" w:csb1="4F010000"/>
  </w:font>
  <w:font w:name="Roboto Th">
    <w:altName w:val="Lucida Console"/>
    <w:panose1 w:val="00000000000000000000"/>
    <w:charset w:val="00"/>
    <w:family w:val="auto"/>
    <w:pitch w:val="default"/>
    <w:sig w:usb0="00000000" w:usb1="00000000" w:usb2="00000020" w:usb3="00000000" w:csb0="2000019F" w:csb1="4F010000"/>
  </w:font>
  <w:font w:name="Trebuchet MS">
    <w:panose1 w:val="020B0603020202020204"/>
    <w:charset w:val="00"/>
    <w:family w:val="auto"/>
    <w:pitch w:val="default"/>
    <w:sig w:usb0="00000287" w:usb1="00000000" w:usb2="00000000" w:usb3="00000000" w:csb0="2000009F" w:csb1="00000000"/>
  </w:font>
  <w:font w:name="Webdings">
    <w:panose1 w:val="05030102010509060703"/>
    <w:charset w:val="00"/>
    <w:family w:val="auto"/>
    <w:pitch w:val="default"/>
    <w:sig w:usb0="00000000" w:usb1="00000000" w:usb2="00000000" w:usb3="00000000" w:csb0="80000000" w:csb1="00000000"/>
  </w:font>
  <w:font w:name="方正大标宋简体">
    <w:altName w:val="微软雅黑"/>
    <w:panose1 w:val="02010601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00" w:usb3="00000000" w:csb0="00040000" w:csb1="00000000"/>
  </w:font>
  <w:font w:name="Heiti SC Light">
    <w:altName w:val="黑体"/>
    <w:panose1 w:val="02000000000000000000"/>
    <w:charset w:val="50"/>
    <w:family w:val="auto"/>
    <w:pitch w:val="default"/>
    <w:sig w:usb0="00000000" w:usb1="00000000" w:usb2="00000010" w:usb3="00000000" w:csb0="003E0000" w:csb1="00000000"/>
  </w:font>
  <w:font w:name="Microsoft JhengHei UI Light">
    <w:altName w:val="宋体"/>
    <w:panose1 w:val="020B0304030504040204"/>
    <w:charset w:val="86"/>
    <w:family w:val="auto"/>
    <w:pitch w:val="default"/>
    <w:sig w:usb0="00000000" w:usb1="00000000" w:usb2="00000016" w:usb3="00000000" w:csb0="00100009" w:csb1="00000000"/>
  </w:font>
  <w:font w:name="Sitka Display">
    <w:altName w:val="PMingLiU"/>
    <w:panose1 w:val="02000505000000020004"/>
    <w:charset w:val="00"/>
    <w:family w:val="auto"/>
    <w:pitch w:val="default"/>
    <w:sig w:usb0="00000000" w:usb1="00000000" w:usb2="00000000" w:usb3="00000000" w:csb0="2000019F" w:csb1="00000000"/>
  </w:font>
  <w:font w:name="宋体-方正超大字符集">
    <w:altName w:val="宋体"/>
    <w:panose1 w:val="03000509000000000000"/>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Tunga">
    <w:panose1 w:val="020B0502040204020203"/>
    <w:charset w:val="00"/>
    <w:family w:val="auto"/>
    <w:pitch w:val="default"/>
    <w:sig w:usb0="0040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Utsaah">
    <w:panose1 w:val="020B0604020202020204"/>
    <w:charset w:val="00"/>
    <w:family w:val="auto"/>
    <w:pitch w:val="default"/>
    <w:sig w:usb0="00008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KodchiangUPC">
    <w:panose1 w:val="020206030504050203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Segoe Script">
    <w:panose1 w:val="020B0504020000000003"/>
    <w:charset w:val="00"/>
    <w:family w:val="auto"/>
    <w:pitch w:val="default"/>
    <w:sig w:usb0="0000028F" w:usb1="00000000" w:usb2="00000000" w:usb3="00000000" w:csb0="0000009F" w:csb1="00000000"/>
  </w:font>
  <w:font w:name="Monotype Corsiva">
    <w:altName w:val="Mongolian Baiti"/>
    <w:panose1 w:val="03010101010201010101"/>
    <w:charset w:val="00"/>
    <w:family w:val="auto"/>
    <w:pitch w:val="default"/>
    <w:sig w:usb0="00000000" w:usb1="00000000" w:usb2="00000000" w:usb3="00000000" w:csb0="2000009F" w:csb1="DFD70000"/>
  </w:font>
  <w:font w:name="方正美黑_GBK">
    <w:altName w:val="黑体"/>
    <w:panose1 w:val="03000509000000000000"/>
    <w:charset w:val="86"/>
    <w:family w:val="auto"/>
    <w:pitch w:val="default"/>
    <w:sig w:usb0="00000000" w:usb1="00000000" w:usb2="00000000" w:usb3="00000000" w:csb0="00040000" w:csb1="00000000"/>
  </w:font>
  <w:font w:name="icomoon">
    <w:panose1 w:val="00000000000000000000"/>
    <w:charset w:val="00"/>
    <w:family w:val="auto"/>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长等线简体">
    <w:altName w:val="宋体"/>
    <w:panose1 w:val="02010601030101010101"/>
    <w:charset w:val="86"/>
    <w:family w:val="auto"/>
    <w:pitch w:val="default"/>
    <w:sig w:usb0="00000000" w:usb1="00000000" w:usb2="00000010" w:usb3="00000000" w:csb0="00040000" w:csb1="00000000"/>
  </w:font>
  <w:font w:name="Segoe UI Light">
    <w:panose1 w:val="020B0502040204020203"/>
    <w:charset w:val="00"/>
    <w:family w:val="auto"/>
    <w:pitch w:val="default"/>
    <w:sig w:usb0="E00002FF" w:usb1="4000A47B" w:usb2="00000001" w:usb3="00000000" w:csb0="2000019F" w:csb1="00000000"/>
  </w:font>
  <w:font w:name="Raavi">
    <w:panose1 w:val="020B0502040204020203"/>
    <w:charset w:val="00"/>
    <w:family w:val="auto"/>
    <w:pitch w:val="default"/>
    <w:sig w:usb0="00020003" w:usb1="00000000" w:usb2="00000000" w:usb3="00000000" w:csb0="00000001" w:csb1="000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SimSun-ExtB">
    <w:panose1 w:val="02010609060101010101"/>
    <w:charset w:val="86"/>
    <w:family w:val="auto"/>
    <w:pitch w:val="default"/>
    <w:sig w:usb0="00000001" w:usb1="02000000" w:usb2="00000000" w:usb3="00000000" w:csb0="00040001" w:csb1="00000000"/>
  </w:font>
  <w:font w:name="方正艺黑简体">
    <w:altName w:val="黑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David">
    <w:panose1 w:val="020E0502060401010101"/>
    <w:charset w:val="00"/>
    <w:family w:val="auto"/>
    <w:pitch w:val="default"/>
    <w:sig w:usb0="00000801" w:usb1="00000000" w:usb2="00000000" w:usb3="00000000" w:csb0="00000020" w:csb1="00200000"/>
  </w:font>
  <w:font w:name="方正古隶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Meiryo">
    <w:panose1 w:val="020B0604030504040204"/>
    <w:charset w:val="80"/>
    <w:family w:val="auto"/>
    <w:pitch w:val="default"/>
    <w:sig w:usb0="E10102FF" w:usb1="EAC7FFFF" w:usb2="00010012" w:usb3="00000000" w:csb0="6002009F" w:csb1="DFD70000"/>
  </w:font>
  <w:font w:name="angx">
    <w:altName w:val="Courier New"/>
    <w:panose1 w:val="00000000000000000000"/>
    <w:charset w:val="00"/>
    <w:family w:val="auto"/>
    <w:pitch w:val="default"/>
    <w:sig w:usb0="00000000" w:usb1="00000000" w:usb2="00000000" w:usb3="00000000" w:csb0="00000000" w:csb1="00000000"/>
  </w:font>
  <w:font w:name="PingFangTC-Regular">
    <w:altName w:val="Courier New"/>
    <w:panose1 w:val="00000000000000000000"/>
    <w:charset w:val="00"/>
    <w:family w:val="roman"/>
    <w:pitch w:val="default"/>
    <w:sig w:usb0="00000000" w:usb1="00000000" w:usb2="00000000" w:usb3="00000000" w:csb0="00000000" w:csb1="00000000"/>
  </w:font>
  <w:font w:name="PingFang TC">
    <w:altName w:val="Times New Roman"/>
    <w:panose1 w:val="00000000000000000000"/>
    <w:charset w:val="00"/>
    <w:family w:val="roman"/>
    <w:pitch w:val="default"/>
    <w:sig w:usb0="00000000" w:usb1="00000000" w:usb2="00000000" w:usb3="00000000" w:csb0="00000000" w:csb1="00000000"/>
  </w:font>
  <w:font w:name="Noteworthy-Light">
    <w:altName w:val="Times New Roman"/>
    <w:panose1 w:val="00000000000000000000"/>
    <w:charset w:val="00"/>
    <w:family w:val="roman"/>
    <w:pitch w:val="default"/>
    <w:sig w:usb0="00000000" w:usb1="00000000" w:usb2="00000000" w:usb3="00000000" w:csb0="00000000" w:csb1="00000000"/>
  </w:font>
  <w:font w:name="Courier">
    <w:altName w:val="Courier New"/>
    <w:panose1 w:val="02070409020002020404"/>
    <w:charset w:val="00"/>
    <w:family w:val="modern"/>
    <w:pitch w:val="default"/>
    <w:sig w:usb0="00000000" w:usb1="00000000" w:usb2="00000000" w:usb3="00000000" w:csb0="00000001" w:csb1="00000000"/>
  </w:font>
  <w:font w:name="PingFangSC-Regular">
    <w:altName w:val="Times New Roman"/>
    <w:panose1 w:val="00000000000000000000"/>
    <w:charset w:val="00"/>
    <w:family w:val="roman"/>
    <w:pitch w:val="default"/>
    <w:sig w:usb0="00000000" w:usb1="00000000" w:usb2="00000000" w:usb3="00000000" w:csb0="00000000" w:csb1="00000000"/>
  </w:font>
  <w:font w:name="PingFangTC-Semibold">
    <w:altName w:val="Courier New"/>
    <w:panose1 w:val="00000000000000000000"/>
    <w:charset w:val="00"/>
    <w:family w:val="roman"/>
    <w:pitch w:val="default"/>
    <w:sig w:usb0="00000000" w:usb1="00000000" w:usb2="00000000" w:usb3="00000000" w:csb0="00000000" w:csb1="00000000"/>
  </w:font>
  <w:font w:name="黑体">
    <w:panose1 w:val="02010609060101010101"/>
    <w:charset w:val="88"/>
    <w:family w:val="modern"/>
    <w:pitch w:val="default"/>
    <w:sig w:usb0="800002BF" w:usb1="38CF7CFA" w:usb2="00000016" w:usb3="00000000" w:csb0="00040001" w:csb1="00000000"/>
  </w:font>
  <w:font w:name="方正大标宋繁体">
    <w:altName w:val="宋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Cordia New">
    <w:panose1 w:val="020B0304020202020204"/>
    <w:charset w:val="00"/>
    <w:family w:val="auto"/>
    <w:pitch w:val="default"/>
    <w:sig w:usb0="81000003" w:usb1="00000000" w:usb2="00000000" w:usb3="00000000" w:csb0="00010001" w:csb1="00000000"/>
  </w:font>
  <w:font w:name="FrankRuehl">
    <w:panose1 w:val="020E0503060101010101"/>
    <w:charset w:val="00"/>
    <w:family w:val="auto"/>
    <w:pitch w:val="default"/>
    <w:sig w:usb0="00000801" w:usb1="00000000" w:usb2="00000000" w:usb3="00000000" w:csb0="00000020" w:csb1="002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鼎中楷体">
    <w:altName w:val="Times New Roman"/>
    <w:panose1 w:val="02020603050005020304"/>
    <w:charset w:val="00"/>
    <w:family w:val="roman"/>
    <w:pitch w:val="default"/>
    <w:sig w:usb0="00000000" w:usb1="00000000" w:usb2="00000008" w:usb3="00000000" w:csb0="000001FF" w:csb1="00000000"/>
  </w:font>
  <w:font w:name="Lucida Handwriting">
    <w:altName w:val="Mongolian Baiti"/>
    <w:panose1 w:val="03010101010101010101"/>
    <w:charset w:val="00"/>
    <w:family w:val="auto"/>
    <w:pitch w:val="default"/>
    <w:sig w:usb0="00000000" w:usb1="00000000" w:usb2="00000000" w:usb3="00000000" w:csb0="20000001" w:csb1="00000000"/>
  </w:font>
  <w:font w:name="Tw Cen MT">
    <w:altName w:val="Lucida Sans Unicode"/>
    <w:panose1 w:val="020B0602020104020603"/>
    <w:charset w:val="00"/>
    <w:family w:val="auto"/>
    <w:pitch w:val="default"/>
    <w:sig w:usb0="00000000" w:usb1="00000000" w:usb2="00000000" w:usb3="00000000" w:csb0="20000003" w:csb1="00000000"/>
  </w:font>
  <w:font w:name="Stencil">
    <w:altName w:val="Courier New"/>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经典仿宋简">
    <w:altName w:val="仿宋_GB2312"/>
    <w:panose1 w:val="02010609000101010101"/>
    <w:charset w:val="86"/>
    <w:family w:val="auto"/>
    <w:pitch w:val="default"/>
    <w:sig w:usb0="00000000" w:usb1="00000000" w:usb2="0000001E" w:usb3="00000000" w:csb0="20040000" w:csb1="00000000"/>
  </w:font>
  <w:font w:name="超世纪粗仿宋">
    <w:altName w:val="仿宋"/>
    <w:panose1 w:val="02000000000000000000"/>
    <w:charset w:val="88"/>
    <w:family w:val="auto"/>
    <w:pitch w:val="default"/>
    <w:sig w:usb0="00000000" w:usb1="00000000" w:usb2="00000006" w:usb3="00000000" w:csb0="00100000" w:csb1="00000000"/>
  </w:font>
  <w:font w:name="Microsoft JhengHei UI Light">
    <w:altName w:val="PMingLiU"/>
    <w:panose1 w:val="020B0304030504040204"/>
    <w:charset w:val="88"/>
    <w:family w:val="auto"/>
    <w:pitch w:val="default"/>
    <w:sig w:usb0="00000000" w:usb1="00000000" w:usb2="00000016" w:usb3="00000000" w:csb0="00100009"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Sitka Text">
    <w:altName w:val="PMingLiU"/>
    <w:panose1 w:val="02000505000000020004"/>
    <w:charset w:val="00"/>
    <w:family w:val="auto"/>
    <w:pitch w:val="default"/>
    <w:sig w:usb0="00000000" w:usb1="00000000" w:usb2="00000000" w:usb3="00000000" w:csb0="2000019F" w:csb1="00000000"/>
  </w:font>
  <w:font w:name="Snap ITC">
    <w:altName w:val="Courier New"/>
    <w:panose1 w:val="04040A07060A02020202"/>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Century Gothic">
    <w:altName w:val="Trebuchet MS"/>
    <w:panose1 w:val="020B0502020202020204"/>
    <w:charset w:val="00"/>
    <w:family w:val="auto"/>
    <w:pitch w:val="default"/>
    <w:sig w:usb0="00000000" w:usb1="00000000" w:usb2="00000000" w:usb3="00000000" w:csb0="2000009F" w:csb1="DFD70000"/>
  </w:font>
  <w:font w:name="方正华隶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方正硬笔楷书繁体">
    <w:altName w:val="楷体_GB2312"/>
    <w:panose1 w:val="03000509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10002FF" w:usb1="4000ACFF" w:usb2="00000009" w:usb3="00000000" w:csb0="2000019F" w:csb1="00000000"/>
  </w:font>
  <w:font w:name="微软简中圆">
    <w:altName w:val="Segoe Print"/>
    <w:panose1 w:val="00000000000000000000"/>
    <w:charset w:val="00"/>
    <w:family w:val="auto"/>
    <w:pitch w:val="default"/>
    <w:sig w:usb0="00000000" w:usb1="00000000" w:usb2="00000000" w:usb3="00000000" w:csb0="00000000" w:csb1="00000000"/>
  </w:font>
  <w:font w:name="叶根友新篆简体试用版">
    <w:altName w:val="宋体"/>
    <w:panose1 w:val="02010601030101010101"/>
    <w:charset w:val="86"/>
    <w:family w:val="auto"/>
    <w:pitch w:val="default"/>
    <w:sig w:usb0="00000000" w:usb1="00000000" w:usb2="00000000"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方正仿郭简体">
    <w:altName w:val="宋体"/>
    <w:panose1 w:val="03000509000000000000"/>
    <w:charset w:val="86"/>
    <w:family w:val="auto"/>
    <w:pitch w:val="default"/>
    <w:sig w:usb0="00000000" w:usb1="00000000" w:usb2="00000000" w:usb3="00000000" w:csb0="003C0041" w:csb1="A0080000"/>
  </w:font>
  <w:font w:name="方正喵呜体">
    <w:altName w:val="宋体"/>
    <w:panose1 w:val="0201060001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懷he{€Y贠S">
    <w:altName w:val="Segoe Print"/>
    <w:panose1 w:val="02010609000101010101"/>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宋体">
    <w:panose1 w:val="02010600030101010101"/>
    <w:charset w:val="86"/>
    <w:family w:val="auto"/>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font-size:18px">
    <w:altName w:val="Segoe Print"/>
    <w:panose1 w:val="00000000000000000000"/>
    <w:charset w:val="00"/>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00" w:usb3="00000000" w:csb0="00040001" w:csb1="00000000"/>
  </w:font>
  <w:font w:name="华康简标题宋">
    <w:altName w:val="微软雅黑"/>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5038725</wp:posOffset>
              </wp:positionH>
              <wp:positionV relativeFrom="paragraph">
                <wp:posOffset>0</wp:posOffset>
              </wp:positionV>
              <wp:extent cx="720725" cy="212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0725" cy="2127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6.75pt;margin-top:0pt;height:16.75pt;width:56.75pt;mso-position-horizontal-relative:margin;z-index:251658240;mso-width-relative:page;mso-height-relative:page;" filled="f" stroked="f" coordsize="21600,21600" o:gfxdata="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DRC7xDVAAAABwEAAA8A&#10;AAAAAAAAAQAgAAAAIgAAAGRycy9kb3ducmV2LnhtbFBLAQIUABQAAAAIAIdO4kA6xsrKxQIAANYF&#10;AAAOAAAAAAAAAAEAIAAAACQBAABkcnMvZTJvRG9jLnhtbFBLBQYAAAAABgAGAFkBAABbBgAAAAA=&#10;">
              <v:fill on="f" focussize="0,0"/>
              <v:stroke on="f" weight="0.5pt"/>
              <v:imagedata o:title=""/>
              <o:lock v:ext="edit" aspectratio="f"/>
              <v:textbox inset="0mm,0mm,0mm,0mm">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0</wp:posOffset>
              </wp:positionV>
              <wp:extent cx="891540" cy="2025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1540" cy="2025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05pt;margin-top:0pt;height:15.95pt;width:70.2pt;mso-position-horizontal-relative:margin;z-index:251659264;mso-width-relative:page;mso-height-relative:page;" filled="f" stroked="f" coordsize="21600,21600" o:gfxdata="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nzxB1AAAAAUBAAAP&#10;AAAAAAAAAAEAIAAAACIAAABkcnMvZG93bnJldi54bWxQSwECFAAUAAAACACHTuJAJWBl48cCAADW&#10;BQAADgAAAAAAAAABACAAAAAjAQAAZHJzL2Uyb0RvYy54bWxQSwUGAAAAAAYABgBZAQAAXAYAAAAA&#10;">
              <v:fill on="f" focussize="0,0"/>
              <v:stroke on="f" weight="0.5pt"/>
              <v:imagedata o:title=""/>
              <o:lock v:ext="edit" aspectratio="f"/>
              <v:textbox inset="0mm,0mm,0mm,0mm">
                <w:txbxContent>
                  <w:p>
                    <w:pPr>
                      <w:snapToGrid w:val="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723CE"/>
    <w:rsid w:val="059723CE"/>
    <w:rsid w:val="063323A8"/>
    <w:rsid w:val="6F4C14F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jc w:val="left"/>
    </w:pPr>
    <w:rPr>
      <w:rFonts w:ascii="微软雅黑" w:hAnsi="微软雅黑" w:eastAsia="微软雅黑"/>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2018-06-12T01:27:00Z</dcterms:created>
  <dc:creator>Administrator</dc:creator>
  <cp:lastModifiedBy>未定义</cp:lastModifiedBy>
  <cp:lastPrinted>2018-06-15T07:00:28Z</cp:lastPrinted>
  <dcterms:modified xsi:type="dcterms:W3CDTF">2018-06-15T07:11:01Z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