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DD538">
      <w:pPr>
        <w:jc w:val="center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865505</wp:posOffset>
                </wp:positionV>
                <wp:extent cx="5561965" cy="43815"/>
                <wp:effectExtent l="0" t="12700" r="635" b="19685"/>
                <wp:wrapNone/>
                <wp:docPr id="1026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5561965" cy="43814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4.4pt;margin-top:68.15pt;height:3.45pt;width:437.95pt;z-index:251659264;mso-width-relative:page;mso-height-relative:page;" coordsize="8759,69" o:gfxdata="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/zvx22QAAAAkB&#10;AAAPAAAAAAAAAAEAIAAAACIAAABkcnMvZG93bnJldi54bWxQSwECFAAUAAAACACHTuJAq3V4o4wC&#10;AAAUBwAADgAAAAAAAAABACAAAAAoAQAAZHJzL2Uyb0RvYy54bWxQSwUGAAAAAAYABgBZAQAAJgYA&#10;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0536D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78013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宁夏贺兰山东麓葡萄酒产业园区管委会</w:t>
      </w:r>
    </w:p>
    <w:p w14:paraId="5CADB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关于印发《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宁夏贺兰山东麓葡萄酒城市体验</w:t>
      </w:r>
    </w:p>
    <w:p w14:paraId="39400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建设方案》的通知</w:t>
      </w:r>
    </w:p>
    <w:p w14:paraId="06A6A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 w14:paraId="49786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各处，相关市、县（区）葡萄酒产业主管部门：</w:t>
      </w:r>
    </w:p>
    <w:p w14:paraId="728F1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为进一步加强宁夏贺兰山东麓葡萄酒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宣传推介，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全方位拓宽葡萄酒销售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，经贺兰山东麓园区党工委会议审定，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现将《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宁夏贺兰山东麓葡萄酒城市体验中心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建设方案》印发你们，请抓好贯彻落实。</w:t>
      </w:r>
    </w:p>
    <w:p w14:paraId="72D4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D71C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9512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3CC6A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80" w:firstLineChars="9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宁夏贺兰山东麓葡萄酒产业园区管委会</w:t>
      </w:r>
    </w:p>
    <w:p w14:paraId="34D27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2022年6月8日</w:t>
      </w:r>
    </w:p>
    <w:p w14:paraId="5F7E228C">
      <w:pPr>
        <w:pStyle w:val="2"/>
        <w:ind w:left="0" w:leftChars="0" w:firstLine="640" w:firstLineChars="200"/>
        <w:rPr>
          <w:rFonts w:hint="eastAsia"/>
          <w:spacing w:val="-11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此件公开发布 联系人：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王武智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0951—6366632 15309509909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）</w:t>
      </w:r>
    </w:p>
    <w:p w14:paraId="4F197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 w:firstLineChars="200"/>
        <w:textAlignment w:val="auto"/>
        <w:rPr>
          <w:rFonts w:hint="default" w:ascii="Times New Roman" w:hAnsi="Times New Roman" w:eastAsia="方正小标宋_GBK" w:cs="Times New Roman"/>
          <w:color w:val="auto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Cs w:val="44"/>
        </w:rPr>
        <w:br w:type="page"/>
      </w:r>
    </w:p>
    <w:p w14:paraId="72CF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宁夏贺兰山东麓葡萄酒城市体验中心</w:t>
      </w:r>
    </w:p>
    <w:p w14:paraId="37C04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TW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建设方案</w:t>
      </w:r>
    </w:p>
    <w:p w14:paraId="1A516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880" w:firstLineChars="20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zh-TW" w:eastAsia="zh-CN" w:bidi="zh-TW"/>
        </w:rPr>
      </w:pPr>
    </w:p>
    <w:p w14:paraId="15E4D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为深入贯彻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习近平总书记视察宁夏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对发展葡萄酒产业的重要指示精神，落实“加强宣传推介，打造自己的知名品牌，增加附加值和综合效益”的具体要求，贺兰山东麓园区管委会计划在国内主要葡萄酒消费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布局建设宁夏贺兰山东麓葡萄酒城市体验中心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（以下简称：体验中心），并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依托体验中心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不定期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在当地开展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贺兰山东麓葡萄酒品牌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宣传推介活动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，全方位拓宽葡萄酒销售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渠道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，进一步提升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宁夏贺兰山东麓产区品牌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知名度和产品美誉度。</w:t>
      </w:r>
    </w:p>
    <w:p w14:paraId="393F5570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建设模式</w:t>
      </w:r>
    </w:p>
    <w:p w14:paraId="450DD29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  <w:t>实施单位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与国内主要葡萄酒消费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城市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葡萄酒销售企业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（以下简称：合作方）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组建营销联合体，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作为供应服务商负责产品组织、品牌方沟通、市场宣传推广支持；合作方负责渠道开发、宣传推广、体验中心日常运营。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具体合作建设事宜由实施单位与合作方按照市场化原则商定。</w:t>
      </w:r>
    </w:p>
    <w:p w14:paraId="517EA712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二、实施单位</w:t>
      </w:r>
    </w:p>
    <w:p w14:paraId="24917FD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实施单位通过公开征集的方式确定，具体负责体验中心的申报、推进实施、产区货品组织、联络对接和奖补支持资金申请兑付等工作。</w:t>
      </w:r>
    </w:p>
    <w:p w14:paraId="1968996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三、实施单位资格</w:t>
      </w:r>
    </w:p>
    <w:p w14:paraId="115DE6AF"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（一）具有独立承担民事责任能力，在宁夏回族自治区内合法注册，有固定的办公场所和必要的设施条件。</w:t>
      </w:r>
    </w:p>
    <w:p w14:paraId="1094D079">
      <w:pPr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（二）具有良好的商业信誉和健全的财务会计制度。</w:t>
      </w:r>
    </w:p>
    <w:p w14:paraId="2873884D">
      <w:pPr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（三）在中国政府采购网未被列入政府采购严重违法失信行为记录名单，或在“信用中国”网站不存在行政处罚记录。</w:t>
      </w:r>
    </w:p>
    <w:p w14:paraId="17973925">
      <w:pPr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（四）注册资本金不少于500万元。</w:t>
      </w:r>
    </w:p>
    <w:p w14:paraId="30A7572C">
      <w:pPr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（五）具有贺兰山东麓葡萄酒产区品牌和产品品牌推广经验。</w:t>
      </w:r>
    </w:p>
    <w:p w14:paraId="376FE832">
      <w:pPr>
        <w:spacing w:line="580" w:lineRule="exact"/>
        <w:ind w:left="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 w:bidi="en-US"/>
        </w:rPr>
        <w:t>（六）具有较强的贺兰山东麓产区葡萄酒酒庄组织、产品对接、仓储物流能力。</w:t>
      </w:r>
    </w:p>
    <w:p w14:paraId="12BC8018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四、体验中心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建设要求</w:t>
      </w:r>
    </w:p>
    <w:p w14:paraId="1A4C0C8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（一）选址于区外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城市的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成熟商业区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0AE7835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（二）单店面积不小于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50平方米，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或综合展陈面积不低于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00平方米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725D28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（三）统一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“宁夏贺兰山东麓葡萄酒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××（城市名）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体验中心”字号及产区logo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05201EF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整体建设装修或展陈方案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须由宁夏贺兰山东麓葡萄酒产业园区管委会市场营销处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确认。</w:t>
      </w:r>
    </w:p>
    <w:p w14:paraId="13E74B1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合作的产区内酒庄不少于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10家，展陈酒款不少于20款。</w:t>
      </w:r>
    </w:p>
    <w:p w14:paraId="05B49AB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（六）须与电商平台合作，配合开展品牌宣传和营销推介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作为宁夏贺兰山东麓葡萄酒拓展当地市场的重要支点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 w14:paraId="718445E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五、体验中心建设流程</w:t>
      </w:r>
    </w:p>
    <w:p w14:paraId="4746DD2A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（一）申报。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向管委会提出建设申请，同时提交建设方案和可行性研究报告。</w:t>
      </w:r>
    </w:p>
    <w:p w14:paraId="6F77C2BC">
      <w:pPr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（二）签订合作协议。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年度建设计划和体验中心总体布局，经市场营销处审核、管委会同意后，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与合作方签订合作协议，并提交市场营销处备案。</w:t>
      </w:r>
    </w:p>
    <w:p w14:paraId="5D6F9247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（三）筹备情况验收。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根据本方案“建设要求”和合作协议，市场营销处联合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对合作方体验中心建设选址、装修等筹备情况进行验收，出具验收合格通知书，同意正式营业。</w:t>
      </w:r>
    </w:p>
    <w:p w14:paraId="519D25E0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奖补支持政策</w:t>
      </w:r>
    </w:p>
    <w:p w14:paraId="2F14E84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）体验中心完成前期筹备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具备运营条件后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与实施单位签订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1000万元的承销合同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给予实施单位50万元的铺货资金支持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750D7C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体验中心超额完成承销合同约定的，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对超过1000万元但不超过3000万元部分给予5%的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奖励资金支持，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对超过3000万元的部分按3%给予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奖励资金支持；奖补资金年度累计不超过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300万元。</w:t>
      </w:r>
    </w:p>
    <w:p w14:paraId="6F52EBE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各体验中心在当地举办挂牌、推介、品鉴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线上推广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等宣传活动。</w:t>
      </w:r>
    </w:p>
    <w:p w14:paraId="64A7BC4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（四）单个体验中心支持期限不超过3年。</w:t>
      </w:r>
    </w:p>
    <w:p w14:paraId="6DF5C216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七、资金兑付</w:t>
      </w:r>
    </w:p>
    <w:p w14:paraId="14C572CF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（一）兑现铺货资金。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体验中心完成筹备验收合格的，由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提出申请，市场营销处审核、管委会同意后，将支持资金拨付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实施单位，由实施单位负责组织兑现铺货葡萄酒产品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0156D292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（二）兑现奖补资金。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体验中心在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合同年度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超额完成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合同约定的，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提出申请，同时提供实际承销额印证资料，市场营销处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审核、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管委会同意后，将以奖代补资金拨付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实施单位，由实施单位负责兑现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0D9B3FCD">
      <w:pPr>
        <w:spacing w:line="56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（三）兑现宣传推介活动支持资金。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对需要在当地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举办挂牌、推介、品鉴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、线上推广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等宣传活动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的体验中心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实施单位提出申请，同时提交活动方案和资金使用计划，市场营销处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审核、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管委会同意后，将支持资金拨付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 w14:paraId="619F66E7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八、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绩效考核</w:t>
      </w:r>
    </w:p>
    <w:p w14:paraId="7CEE3CEB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（一）绩效评价工作由市场营销处负责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开展，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绩效目标详见附件，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对考核不合格的体验中心取消次年支持资格。</w:t>
      </w:r>
    </w:p>
    <w:p w14:paraId="6C143E79">
      <w:pPr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实施单位须按月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向贺兰山东麓园区管委会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市场营销处上报销售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统计报表，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7月底、次年1月底前上报城市体验中心半年、年度运营情况报告。</w:t>
      </w:r>
    </w:p>
    <w:p w14:paraId="20476A2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（三）对完成约定承销任务70%以上，且在合同年度后半年内完成承销任务的，视为完成承销任务。</w:t>
      </w:r>
    </w:p>
    <w:p w14:paraId="43E29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（四）对未完成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合同年度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约定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承销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任务的体验中心，按照未完成比例退还相应比例的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铺货资金。</w:t>
      </w:r>
    </w:p>
    <w:p w14:paraId="6F6A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en-US"/>
        </w:rPr>
      </w:pPr>
    </w:p>
    <w:p w14:paraId="72DF6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en-US"/>
        </w:rPr>
        <w:t>附件：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城市体验中心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en-US"/>
        </w:rPr>
        <w:t>绩效目标表</w:t>
      </w:r>
    </w:p>
    <w:p w14:paraId="0FB34443"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en-US"/>
        </w:rPr>
      </w:pPr>
    </w:p>
    <w:p w14:paraId="6F3D4867">
      <w:pPr>
        <w:rPr>
          <w:rFonts w:hint="default"/>
          <w:lang w:val="en-US" w:eastAsia="zh-CN"/>
        </w:rPr>
      </w:pPr>
    </w:p>
    <w:p w14:paraId="070105D4">
      <w:pPr>
        <w:spacing w:line="580" w:lineRule="exact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en-US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 w:bidi="en-US"/>
        </w:rPr>
        <w:t>：</w:t>
      </w:r>
    </w:p>
    <w:p w14:paraId="39A8BE36">
      <w:pPr>
        <w:spacing w:line="58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城市体验中心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en-US"/>
        </w:rPr>
        <w:t>绩效目标表</w:t>
      </w:r>
    </w:p>
    <w:p w14:paraId="49A4D817">
      <w:pPr>
        <w:spacing w:line="560" w:lineRule="exact"/>
        <w:ind w:firstLine="0" w:firstLineChars="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74"/>
        <w:gridCol w:w="1196"/>
        <w:gridCol w:w="4182"/>
        <w:gridCol w:w="1694"/>
      </w:tblGrid>
      <w:tr w14:paraId="22D7B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Align w:val="center"/>
          </w:tcPr>
          <w:p w14:paraId="286E7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总体</w:t>
            </w:r>
          </w:p>
          <w:p w14:paraId="64CF4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目标</w:t>
            </w:r>
          </w:p>
        </w:tc>
        <w:tc>
          <w:tcPr>
            <w:tcW w:w="8046" w:type="dxa"/>
            <w:gridSpan w:val="4"/>
            <w:vAlign w:val="center"/>
          </w:tcPr>
          <w:p w14:paraId="7D43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贺兰山东麓葡萄酒品牌知名度和市场占有率进一步提高</w:t>
            </w:r>
          </w:p>
        </w:tc>
      </w:tr>
      <w:tr w14:paraId="7493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840" w:type="dxa"/>
            <w:vMerge w:val="restart"/>
            <w:vAlign w:val="center"/>
          </w:tcPr>
          <w:p w14:paraId="004B3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绩</w:t>
            </w:r>
          </w:p>
          <w:p w14:paraId="154DF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效</w:t>
            </w:r>
          </w:p>
          <w:p w14:paraId="56025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</w:t>
            </w:r>
          </w:p>
          <w:p w14:paraId="037F7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标</w:t>
            </w:r>
          </w:p>
        </w:tc>
        <w:tc>
          <w:tcPr>
            <w:tcW w:w="974" w:type="dxa"/>
            <w:vAlign w:val="center"/>
          </w:tcPr>
          <w:p w14:paraId="62978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一级</w:t>
            </w:r>
          </w:p>
          <w:p w14:paraId="5A200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1196" w:type="dxa"/>
            <w:vAlign w:val="center"/>
          </w:tcPr>
          <w:p w14:paraId="255BB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二级指标</w:t>
            </w:r>
          </w:p>
        </w:tc>
        <w:tc>
          <w:tcPr>
            <w:tcW w:w="4182" w:type="dxa"/>
            <w:vAlign w:val="center"/>
          </w:tcPr>
          <w:p w14:paraId="47348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三级指标</w:t>
            </w:r>
          </w:p>
        </w:tc>
        <w:tc>
          <w:tcPr>
            <w:tcW w:w="1694" w:type="dxa"/>
            <w:vAlign w:val="center"/>
          </w:tcPr>
          <w:p w14:paraId="77AB2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指标值</w:t>
            </w:r>
          </w:p>
        </w:tc>
      </w:tr>
      <w:tr w14:paraId="0F36D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71E91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660AD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产出</w:t>
            </w:r>
          </w:p>
          <w:p w14:paraId="51935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1196" w:type="dxa"/>
            <w:vMerge w:val="restart"/>
            <w:vAlign w:val="center"/>
          </w:tcPr>
          <w:p w14:paraId="453B3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数量指标</w:t>
            </w:r>
          </w:p>
        </w:tc>
        <w:tc>
          <w:tcPr>
            <w:tcW w:w="4182" w:type="dxa"/>
            <w:vAlign w:val="center"/>
          </w:tcPr>
          <w:p w14:paraId="5E26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电商平台销量占比</w:t>
            </w:r>
          </w:p>
        </w:tc>
        <w:tc>
          <w:tcPr>
            <w:tcW w:w="1694" w:type="dxa"/>
            <w:vAlign w:val="center"/>
          </w:tcPr>
          <w:p w14:paraId="77CCA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10%</w:t>
            </w:r>
          </w:p>
        </w:tc>
      </w:tr>
      <w:tr w14:paraId="1700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5F877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51CCBD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96" w:type="dxa"/>
            <w:vMerge w:val="continue"/>
            <w:vAlign w:val="center"/>
          </w:tcPr>
          <w:p w14:paraId="7F836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182" w:type="dxa"/>
            <w:vAlign w:val="center"/>
          </w:tcPr>
          <w:p w14:paraId="66907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合作酒庄数量</w:t>
            </w:r>
          </w:p>
        </w:tc>
        <w:tc>
          <w:tcPr>
            <w:tcW w:w="1694" w:type="dxa"/>
            <w:vAlign w:val="center"/>
          </w:tcPr>
          <w:p w14:paraId="258B0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10家</w:t>
            </w:r>
          </w:p>
        </w:tc>
      </w:tr>
      <w:tr w14:paraId="4031B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152CC7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01BB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96" w:type="dxa"/>
            <w:vMerge w:val="continue"/>
            <w:vAlign w:val="center"/>
          </w:tcPr>
          <w:p w14:paraId="1FF3B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182" w:type="dxa"/>
            <w:vAlign w:val="center"/>
          </w:tcPr>
          <w:p w14:paraId="71AD6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展陈酒款数量</w:t>
            </w:r>
          </w:p>
        </w:tc>
        <w:tc>
          <w:tcPr>
            <w:tcW w:w="1694" w:type="dxa"/>
            <w:vAlign w:val="center"/>
          </w:tcPr>
          <w:p w14:paraId="77BF5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20个</w:t>
            </w:r>
          </w:p>
        </w:tc>
      </w:tr>
      <w:tr w14:paraId="2F5CB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39333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60BA4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1196" w:type="dxa"/>
            <w:vMerge w:val="continue"/>
            <w:vAlign w:val="center"/>
          </w:tcPr>
          <w:p w14:paraId="79AE7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</w:p>
        </w:tc>
        <w:tc>
          <w:tcPr>
            <w:tcW w:w="4182" w:type="dxa"/>
            <w:vAlign w:val="center"/>
          </w:tcPr>
          <w:p w14:paraId="46904F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单一酒庄产品销量</w:t>
            </w:r>
          </w:p>
        </w:tc>
        <w:tc>
          <w:tcPr>
            <w:tcW w:w="1694" w:type="dxa"/>
            <w:vAlign w:val="center"/>
          </w:tcPr>
          <w:p w14:paraId="14EF4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≤90%</w:t>
            </w:r>
          </w:p>
        </w:tc>
      </w:tr>
      <w:tr w14:paraId="0F5E1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59E0F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151BE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10F3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质量指标</w:t>
            </w:r>
          </w:p>
        </w:tc>
        <w:tc>
          <w:tcPr>
            <w:tcW w:w="4182" w:type="dxa"/>
            <w:vAlign w:val="center"/>
          </w:tcPr>
          <w:p w14:paraId="777538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贺兰山东麓葡萄酒在当地品牌知名度</w:t>
            </w:r>
          </w:p>
        </w:tc>
        <w:tc>
          <w:tcPr>
            <w:tcW w:w="1694" w:type="dxa"/>
            <w:vAlign w:val="center"/>
          </w:tcPr>
          <w:p w14:paraId="604537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有所提高</w:t>
            </w:r>
          </w:p>
        </w:tc>
      </w:tr>
      <w:tr w14:paraId="4066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2E067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15AC3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continue"/>
          </w:tcPr>
          <w:p w14:paraId="0EA25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4182" w:type="dxa"/>
            <w:vAlign w:val="center"/>
          </w:tcPr>
          <w:p w14:paraId="12D39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贺兰山东麓葡萄酒在当地市场占有率</w:t>
            </w:r>
          </w:p>
        </w:tc>
        <w:tc>
          <w:tcPr>
            <w:tcW w:w="1694" w:type="dxa"/>
            <w:vAlign w:val="center"/>
          </w:tcPr>
          <w:p w14:paraId="60AB6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有所提高</w:t>
            </w:r>
          </w:p>
        </w:tc>
      </w:tr>
      <w:tr w14:paraId="7448A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52C8B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78218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5F84D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时效指标</w:t>
            </w:r>
          </w:p>
        </w:tc>
        <w:tc>
          <w:tcPr>
            <w:tcW w:w="4182" w:type="dxa"/>
            <w:vAlign w:val="center"/>
          </w:tcPr>
          <w:p w14:paraId="502E9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建设完成及时率</w:t>
            </w:r>
          </w:p>
        </w:tc>
        <w:tc>
          <w:tcPr>
            <w:tcW w:w="1694" w:type="dxa"/>
            <w:vAlign w:val="center"/>
          </w:tcPr>
          <w:p w14:paraId="0980A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按时完成建设</w:t>
            </w:r>
          </w:p>
        </w:tc>
      </w:tr>
      <w:tr w14:paraId="56FF9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72BC9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624E2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continue"/>
          </w:tcPr>
          <w:p w14:paraId="2D198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4182" w:type="dxa"/>
            <w:vAlign w:val="center"/>
          </w:tcPr>
          <w:p w14:paraId="444FE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按时提交总结报告</w:t>
            </w:r>
          </w:p>
        </w:tc>
        <w:tc>
          <w:tcPr>
            <w:tcW w:w="1694" w:type="dxa"/>
            <w:vAlign w:val="center"/>
          </w:tcPr>
          <w:p w14:paraId="6A64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按时提交</w:t>
            </w:r>
          </w:p>
        </w:tc>
      </w:tr>
      <w:tr w14:paraId="5E90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69CBE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3069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效益</w:t>
            </w:r>
          </w:p>
          <w:p w14:paraId="49336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1196" w:type="dxa"/>
            <w:vAlign w:val="center"/>
          </w:tcPr>
          <w:p w14:paraId="3919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经济效益</w:t>
            </w:r>
          </w:p>
          <w:p w14:paraId="78FE3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4182" w:type="dxa"/>
            <w:vAlign w:val="center"/>
          </w:tcPr>
          <w:p w14:paraId="29CD6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年承销额</w:t>
            </w:r>
          </w:p>
        </w:tc>
        <w:tc>
          <w:tcPr>
            <w:tcW w:w="1694" w:type="dxa"/>
            <w:vAlign w:val="center"/>
          </w:tcPr>
          <w:p w14:paraId="665B4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1000万元</w:t>
            </w:r>
          </w:p>
        </w:tc>
      </w:tr>
      <w:tr w14:paraId="7A38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6BD0E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2A2E1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restart"/>
            <w:vAlign w:val="center"/>
          </w:tcPr>
          <w:p w14:paraId="33CAD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社会效益</w:t>
            </w:r>
          </w:p>
          <w:p w14:paraId="2CEA1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4182" w:type="dxa"/>
            <w:vAlign w:val="center"/>
          </w:tcPr>
          <w:p w14:paraId="1A1E1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单个体验中心宣传推介场次</w:t>
            </w:r>
          </w:p>
        </w:tc>
        <w:tc>
          <w:tcPr>
            <w:tcW w:w="1694" w:type="dxa"/>
            <w:vAlign w:val="center"/>
          </w:tcPr>
          <w:p w14:paraId="34021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1次</w:t>
            </w:r>
          </w:p>
        </w:tc>
      </w:tr>
      <w:tr w14:paraId="3FDD4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7B2AA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1CA31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continue"/>
          </w:tcPr>
          <w:p w14:paraId="6CDC76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4182" w:type="dxa"/>
            <w:vAlign w:val="center"/>
          </w:tcPr>
          <w:p w14:paraId="3D3C2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单个体验中心宣传推介累计参加人数</w:t>
            </w:r>
          </w:p>
        </w:tc>
        <w:tc>
          <w:tcPr>
            <w:tcW w:w="1694" w:type="dxa"/>
            <w:vAlign w:val="center"/>
          </w:tcPr>
          <w:p w14:paraId="7D506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100人</w:t>
            </w:r>
          </w:p>
        </w:tc>
      </w:tr>
      <w:tr w14:paraId="2C585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3BAC4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restart"/>
            <w:vAlign w:val="center"/>
          </w:tcPr>
          <w:p w14:paraId="1AC21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满意度指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标</w:t>
            </w:r>
          </w:p>
        </w:tc>
        <w:tc>
          <w:tcPr>
            <w:tcW w:w="1196" w:type="dxa"/>
            <w:vMerge w:val="restart"/>
            <w:vAlign w:val="center"/>
          </w:tcPr>
          <w:p w14:paraId="05303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服务对象</w:t>
            </w:r>
          </w:p>
          <w:p w14:paraId="1DCB3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满意度</w:t>
            </w:r>
          </w:p>
          <w:p w14:paraId="6B5C4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指标</w:t>
            </w:r>
          </w:p>
        </w:tc>
        <w:tc>
          <w:tcPr>
            <w:tcW w:w="4182" w:type="dxa"/>
            <w:vAlign w:val="center"/>
          </w:tcPr>
          <w:p w14:paraId="43FEA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合作酒庄满意度</w:t>
            </w:r>
          </w:p>
        </w:tc>
        <w:tc>
          <w:tcPr>
            <w:tcW w:w="1694" w:type="dxa"/>
            <w:vAlign w:val="center"/>
          </w:tcPr>
          <w:p w14:paraId="71A760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85%</w:t>
            </w:r>
          </w:p>
        </w:tc>
      </w:tr>
      <w:tr w14:paraId="3266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40" w:type="dxa"/>
            <w:vMerge w:val="continue"/>
          </w:tcPr>
          <w:p w14:paraId="4807D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974" w:type="dxa"/>
            <w:vMerge w:val="continue"/>
          </w:tcPr>
          <w:p w14:paraId="04E78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1196" w:type="dxa"/>
            <w:vMerge w:val="continue"/>
          </w:tcPr>
          <w:p w14:paraId="5B375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en-US"/>
              </w:rPr>
            </w:pPr>
          </w:p>
        </w:tc>
        <w:tc>
          <w:tcPr>
            <w:tcW w:w="4182" w:type="dxa"/>
            <w:vAlign w:val="center"/>
          </w:tcPr>
          <w:p w14:paraId="3647C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合作方满意度</w:t>
            </w:r>
          </w:p>
        </w:tc>
        <w:tc>
          <w:tcPr>
            <w:tcW w:w="1694" w:type="dxa"/>
            <w:vAlign w:val="center"/>
          </w:tcPr>
          <w:p w14:paraId="207B6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 w:bidi="ar-SA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85%</w:t>
            </w:r>
          </w:p>
        </w:tc>
      </w:tr>
    </w:tbl>
    <w:p w14:paraId="78AEAA06"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8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1984" w:footer="1417" w:gutter="0"/>
      <w:pgNumType w:fmt="decimal" w:chapStyle="1" w:chapSep="hyphen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5B30DE-B282-4C98-B203-9085A815536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5163966-CB5F-4896-AD79-7A8F712C1ED6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97ADB28-0374-4D18-8619-164B3035CF8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6D66B87-CAA6-4F66-92D0-F8761F9DA961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E54EBE6-F9D1-4425-9E36-806C0E518D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3A075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4838700</wp:posOffset>
              </wp:positionH>
              <wp:positionV relativeFrom="paragraph">
                <wp:posOffset>0</wp:posOffset>
              </wp:positionV>
              <wp:extent cx="777875" cy="365760"/>
              <wp:effectExtent l="0" t="0" r="0" b="0"/>
              <wp:wrapNone/>
              <wp:docPr id="409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875" cy="36576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83289F9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left:381pt;margin-top:0pt;height:28.8pt;width:61.25pt;mso-position-horizontal-relative:margin;z-index:251659264;mso-width-relative:page;mso-height-relative:page;" filled="f" stroked="f" coordsize="21600,21600" o:gfxdata="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Mq3g9kAAAAHAQAADwAAAAAA&#10;AAABACAAAAAiAAAAZHJzL2Rvd25yZXYueG1sUEsBAhQAFAAAAAgAh07iQKiqVlXZAQAAngMAAA4A&#10;AAAAAAAAAQAgAAAAKAEAAGRycy9lMm9Eb2MueG1sUEsFBgAAAAAGAAYAWQEAAHM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83289F9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9A498"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46990</wp:posOffset>
              </wp:positionH>
              <wp:positionV relativeFrom="paragraph">
                <wp:posOffset>-19050</wp:posOffset>
              </wp:positionV>
              <wp:extent cx="768350" cy="279400"/>
              <wp:effectExtent l="0" t="0" r="0" b="0"/>
              <wp:wrapNone/>
              <wp:docPr id="409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49" cy="279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B53D4A"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left:3.7pt;margin-top:-1.5pt;height:22pt;width:60.5pt;mso-position-horizontal-relative:margin;z-index:251659264;mso-width-relative:page;mso-height-relative:page;" filled="f" stroked="f" coordsize="21600,21600" o:gfxdata="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lBfjHXAAAABwEAAA8AAAAAAAAA&#10;AQAgAAAAIgAAAGRycy9kb3ducmV2LnhtbFBLAQIUABQAAAAIAIdO4kAFh9aJ2QEAAJ4DAAAOAAAA&#10;AAAAAAEAIAAAACY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6B53D4A"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00000000"/>
    <w:rsid w:val="0C790CBD"/>
    <w:rsid w:val="13242CDE"/>
    <w:rsid w:val="1FDE93CA"/>
    <w:rsid w:val="7BFD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outlineLvl w:val="1"/>
    </w:pPr>
    <w:rPr>
      <w:rFonts w:ascii="Calibri Light" w:hAnsi="Calibri Light" w:eastAsia="楷体_GB2312" w:cs="Times New Roman"/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Body Text First Indent 2"/>
    <w:basedOn w:val="1"/>
    <w:qFormat/>
    <w:uiPriority w:val="0"/>
    <w:pPr>
      <w:ind w:firstLine="42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12">
    <w:name w:val="List Paragraph_0d23dd01-5b66-4146-81da-ada39274c7ba"/>
    <w:basedOn w:val="1"/>
    <w:qFormat/>
    <w:uiPriority w:val="99"/>
    <w:pPr>
      <w:ind w:firstLine="420" w:firstLineChars="200"/>
    </w:pPr>
  </w:style>
  <w:style w:type="paragraph" w:customStyle="1" w:styleId="13">
    <w:name w:val="List Paragraph_55994256-0171-4c40-a9b4-a4c38f541ca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2199</Words>
  <Characters>2275</Characters>
  <Paragraphs>166</Paragraphs>
  <TotalTime>10</TotalTime>
  <ScaleCrop>false</ScaleCrop>
  <LinksUpToDate>false</LinksUpToDate>
  <CharactersWithSpaces>2280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2022-03-15T12:00:00Z</dcterms:created>
  <dc:creator>郭颖晖</dc:creator>
  <cp:lastModifiedBy>麻美子</cp:lastModifiedBy>
  <cp:lastPrinted>2022-06-03T09:43:00Z</cp:lastPrinted>
  <dcterms:modified xsi:type="dcterms:W3CDTF">2025-04-09T10:00:17Z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7BF94D80E518468C8BEF1DC45757A88B</vt:lpwstr>
  </property>
  <property fmtid="{D5CDD505-2E9C-101B-9397-08002B2CF9AE}" pid="4" name="KSOTemplateDocerSaveRecord">
    <vt:lpwstr>eyJoZGlkIjoiYTRiMmY2OGU5ODY0MWY4Zjc2M2MzZmExNmJiZjkxMGQiLCJ1c2VySWQiOiIyNzk2OTQ2NzIifQ==</vt:lpwstr>
  </property>
</Properties>
</file>